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2D" w:rsidRDefault="0044342D" w:rsidP="004C0327">
      <w:pPr>
        <w:jc w:val="both"/>
        <w:rPr>
          <w:b/>
          <w:i/>
        </w:rPr>
      </w:pPr>
    </w:p>
    <w:p w:rsidR="0044342D" w:rsidRDefault="0044342D" w:rsidP="0044342D">
      <w:pPr>
        <w:jc w:val="center"/>
        <w:rPr>
          <w:rStyle w:val="A1"/>
          <w:rFonts w:cs="Times New Roman"/>
          <w:color w:val="365F91" w:themeColor="accent1" w:themeShade="BF"/>
          <w:sz w:val="56"/>
          <w:szCs w:val="56"/>
        </w:rPr>
      </w:pPr>
    </w:p>
    <w:p w:rsidR="0044342D" w:rsidRDefault="0044342D" w:rsidP="0044342D">
      <w:pPr>
        <w:jc w:val="center"/>
        <w:rPr>
          <w:rStyle w:val="A1"/>
          <w:rFonts w:cs="Times New Roman"/>
          <w:color w:val="365F91" w:themeColor="accent1" w:themeShade="BF"/>
          <w:sz w:val="56"/>
          <w:szCs w:val="56"/>
        </w:rPr>
      </w:pPr>
    </w:p>
    <w:p w:rsidR="0044342D" w:rsidRDefault="0044342D" w:rsidP="0044342D">
      <w:pPr>
        <w:jc w:val="center"/>
        <w:rPr>
          <w:rStyle w:val="A1"/>
          <w:rFonts w:cs="Times New Roman"/>
          <w:color w:val="365F91" w:themeColor="accent1" w:themeShade="BF"/>
          <w:sz w:val="56"/>
          <w:szCs w:val="56"/>
        </w:rPr>
      </w:pPr>
    </w:p>
    <w:p w:rsidR="0044342D" w:rsidRDefault="0044342D" w:rsidP="0044342D">
      <w:pPr>
        <w:jc w:val="center"/>
        <w:rPr>
          <w:rStyle w:val="A1"/>
          <w:rFonts w:cs="Times New Roman"/>
          <w:color w:val="365F91" w:themeColor="accent1" w:themeShade="BF"/>
          <w:sz w:val="56"/>
          <w:szCs w:val="56"/>
        </w:rPr>
      </w:pPr>
    </w:p>
    <w:p w:rsidR="0044342D" w:rsidRDefault="0044342D" w:rsidP="0044342D">
      <w:pPr>
        <w:jc w:val="center"/>
        <w:rPr>
          <w:rStyle w:val="A1"/>
          <w:rFonts w:cs="Times New Roman"/>
          <w:color w:val="365F91" w:themeColor="accent1" w:themeShade="BF"/>
          <w:sz w:val="56"/>
          <w:szCs w:val="56"/>
        </w:rPr>
      </w:pPr>
    </w:p>
    <w:p w:rsidR="0044342D" w:rsidRPr="0044342D" w:rsidRDefault="0044342D" w:rsidP="0044342D">
      <w:pPr>
        <w:jc w:val="center"/>
        <w:rPr>
          <w:rStyle w:val="A1"/>
          <w:rFonts w:ascii="Times New Roman" w:hAnsi="Times New Roman" w:cs="Times New Roman"/>
          <w:color w:val="365F91" w:themeColor="accent1" w:themeShade="BF"/>
          <w:sz w:val="56"/>
          <w:szCs w:val="56"/>
        </w:rPr>
      </w:pPr>
      <w:r w:rsidRPr="0044342D">
        <w:rPr>
          <w:rStyle w:val="A1"/>
          <w:rFonts w:ascii="Times New Roman" w:hAnsi="Times New Roman" w:cs="Times New Roman"/>
          <w:color w:val="365F91" w:themeColor="accent1" w:themeShade="BF"/>
          <w:sz w:val="56"/>
          <w:szCs w:val="56"/>
        </w:rPr>
        <w:t>SCIENTIFIC ADVISORY PANEL BRIEFING</w:t>
      </w:r>
    </w:p>
    <w:p w:rsidR="0044342D" w:rsidRPr="0044342D" w:rsidRDefault="0044342D" w:rsidP="0044342D">
      <w:pPr>
        <w:jc w:val="center"/>
        <w:rPr>
          <w:rStyle w:val="A1"/>
          <w:rFonts w:ascii="Times New Roman" w:hAnsi="Times New Roman" w:cs="Times New Roman"/>
          <w:sz w:val="28"/>
          <w:szCs w:val="28"/>
        </w:rPr>
      </w:pPr>
    </w:p>
    <w:p w:rsidR="0044342D" w:rsidRPr="0044342D" w:rsidRDefault="0044342D" w:rsidP="0044342D">
      <w:pPr>
        <w:jc w:val="center"/>
        <w:rPr>
          <w:rStyle w:val="A1"/>
          <w:rFonts w:ascii="Times New Roman" w:hAnsi="Times New Roman" w:cs="Times New Roman"/>
          <w:b/>
          <w:sz w:val="28"/>
          <w:szCs w:val="28"/>
        </w:rPr>
      </w:pPr>
    </w:p>
    <w:p w:rsidR="0044342D" w:rsidRPr="0044342D" w:rsidRDefault="0044342D" w:rsidP="0044342D">
      <w:pPr>
        <w:jc w:val="center"/>
        <w:rPr>
          <w:rStyle w:val="A1"/>
          <w:rFonts w:ascii="Times New Roman" w:hAnsi="Times New Roman" w:cs="Times New Roman"/>
          <w:sz w:val="28"/>
          <w:szCs w:val="28"/>
        </w:rPr>
      </w:pPr>
    </w:p>
    <w:p w:rsidR="0044342D" w:rsidRPr="0044342D" w:rsidRDefault="0044342D" w:rsidP="0044342D">
      <w:pPr>
        <w:jc w:val="center"/>
        <w:rPr>
          <w:rFonts w:ascii="Times New Roman" w:hAnsi="Times New Roman" w:cs="Times New Roman"/>
          <w:i/>
          <w:sz w:val="44"/>
          <w:szCs w:val="44"/>
        </w:rPr>
        <w:sectPr w:rsidR="0044342D" w:rsidRPr="0044342D" w:rsidSect="00326366">
          <w:headerReference w:type="default" r:id="rId6"/>
          <w:footerReference w:type="default" r:id="rId7"/>
          <w:pgSz w:w="12240" w:h="15840"/>
          <w:pgMar w:top="1440" w:right="1800" w:bottom="1440" w:left="1800" w:header="720" w:footer="720" w:gutter="0"/>
          <w:cols w:space="720"/>
        </w:sectPr>
      </w:pPr>
      <w:r w:rsidRPr="0044342D">
        <w:rPr>
          <w:rStyle w:val="A1"/>
          <w:rFonts w:ascii="Times New Roman" w:hAnsi="Times New Roman" w:cs="Times New Roman"/>
          <w:sz w:val="44"/>
          <w:szCs w:val="44"/>
        </w:rPr>
        <w:t>Short-Lived Climate Pollutants in the Fifth IPCC Assessment Report Working Group I The Physical Science Basis</w:t>
      </w:r>
    </w:p>
    <w:p w:rsidR="0044342D" w:rsidRDefault="0044342D" w:rsidP="004C0327">
      <w:pPr>
        <w:jc w:val="both"/>
        <w:rPr>
          <w:b/>
          <w:i/>
        </w:rPr>
      </w:pPr>
    </w:p>
    <w:p w:rsidR="0020382A" w:rsidRPr="0044342D" w:rsidRDefault="0020382A" w:rsidP="0044342D">
      <w:pPr>
        <w:spacing w:line="276" w:lineRule="auto"/>
        <w:jc w:val="center"/>
        <w:rPr>
          <w:rFonts w:ascii="Times New Roman" w:hAnsi="Times New Roman" w:cs="Times New Roman"/>
          <w:b/>
        </w:rPr>
      </w:pPr>
      <w:r w:rsidRPr="0044342D">
        <w:rPr>
          <w:rFonts w:ascii="Times New Roman" w:hAnsi="Times New Roman" w:cs="Times New Roman"/>
          <w:b/>
        </w:rPr>
        <w:t xml:space="preserve">Short-Lived Climate Pollutants in the </w:t>
      </w:r>
      <w:r w:rsidR="00D177C4" w:rsidRPr="0044342D">
        <w:rPr>
          <w:rFonts w:ascii="Times New Roman" w:hAnsi="Times New Roman" w:cs="Times New Roman"/>
          <w:b/>
        </w:rPr>
        <w:t>Fifth Assessment Report of the I</w:t>
      </w:r>
      <w:r w:rsidR="00A45DAD" w:rsidRPr="0044342D">
        <w:rPr>
          <w:rFonts w:ascii="Times New Roman" w:hAnsi="Times New Roman" w:cs="Times New Roman"/>
          <w:b/>
        </w:rPr>
        <w:t>PCC</w:t>
      </w:r>
      <w:r w:rsidR="00D177C4" w:rsidRPr="0044342D">
        <w:rPr>
          <w:rFonts w:ascii="Times New Roman" w:hAnsi="Times New Roman" w:cs="Times New Roman"/>
          <w:b/>
        </w:rPr>
        <w:t xml:space="preserve"> – Working Group I: The Physical Science Basis</w:t>
      </w:r>
    </w:p>
    <w:p w:rsidR="0044342D" w:rsidRPr="0044342D" w:rsidRDefault="0044342D" w:rsidP="0044342D">
      <w:pPr>
        <w:pStyle w:val="Heading2"/>
        <w:rPr>
          <w:rFonts w:ascii="Times New Roman" w:hAnsi="Times New Roman" w:cs="Times New Roman"/>
          <w:b/>
          <w:sz w:val="22"/>
          <w:szCs w:val="22"/>
        </w:rPr>
      </w:pPr>
      <w:r w:rsidRPr="0044342D">
        <w:rPr>
          <w:rFonts w:ascii="Times New Roman" w:hAnsi="Times New Roman" w:cs="Times New Roman"/>
          <w:b/>
          <w:sz w:val="22"/>
          <w:szCs w:val="22"/>
        </w:rPr>
        <w:t>Introduction</w:t>
      </w:r>
    </w:p>
    <w:p w:rsidR="00420A01" w:rsidRPr="0044342D" w:rsidRDefault="008F7B8E"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 xml:space="preserve">The </w:t>
      </w:r>
      <w:r w:rsidR="00E01F6B" w:rsidRPr="0044342D">
        <w:rPr>
          <w:rFonts w:ascii="Times New Roman" w:hAnsi="Times New Roman" w:cs="Times New Roman"/>
          <w:sz w:val="22"/>
          <w:szCs w:val="22"/>
        </w:rPr>
        <w:t>Fifth Assessment Report (AR5) of the Intergovernmental</w:t>
      </w:r>
      <w:r w:rsidR="00E460B7" w:rsidRPr="0044342D">
        <w:rPr>
          <w:rFonts w:ascii="Times New Roman" w:hAnsi="Times New Roman" w:cs="Times New Roman"/>
          <w:sz w:val="22"/>
          <w:szCs w:val="22"/>
        </w:rPr>
        <w:t xml:space="preserve"> Panel on Climate Change (IPCC)</w:t>
      </w:r>
      <w:r w:rsidR="007245A4" w:rsidRPr="0044342D">
        <w:rPr>
          <w:rFonts w:ascii="Times New Roman" w:hAnsi="Times New Roman" w:cs="Times New Roman"/>
          <w:sz w:val="22"/>
          <w:szCs w:val="22"/>
        </w:rPr>
        <w:t xml:space="preserve"> provides the latest comprehensive evaluation of the factors driving climate change. Regarding </w:t>
      </w:r>
      <w:r w:rsidR="00DD7E8E" w:rsidRPr="0044342D">
        <w:rPr>
          <w:rFonts w:ascii="Times New Roman" w:hAnsi="Times New Roman" w:cs="Times New Roman"/>
          <w:sz w:val="22"/>
          <w:szCs w:val="22"/>
        </w:rPr>
        <w:t>short-lived climate pollutants (</w:t>
      </w:r>
      <w:r w:rsidR="007245A4" w:rsidRPr="0044342D">
        <w:rPr>
          <w:rFonts w:ascii="Times New Roman" w:hAnsi="Times New Roman" w:cs="Times New Roman"/>
          <w:sz w:val="22"/>
          <w:szCs w:val="22"/>
        </w:rPr>
        <w:t>SLCPs</w:t>
      </w:r>
      <w:r w:rsidR="00DD7E8E" w:rsidRPr="0044342D">
        <w:rPr>
          <w:rFonts w:ascii="Times New Roman" w:hAnsi="Times New Roman" w:cs="Times New Roman"/>
          <w:sz w:val="22"/>
          <w:szCs w:val="22"/>
        </w:rPr>
        <w:t>)</w:t>
      </w:r>
      <w:r w:rsidR="007245A4" w:rsidRPr="0044342D">
        <w:rPr>
          <w:rFonts w:ascii="Times New Roman" w:hAnsi="Times New Roman" w:cs="Times New Roman"/>
          <w:sz w:val="22"/>
          <w:szCs w:val="22"/>
        </w:rPr>
        <w:t>, AR5 finds larger contributions to climate change from methan</w:t>
      </w:r>
      <w:r w:rsidR="00AD657E" w:rsidRPr="0044342D">
        <w:rPr>
          <w:rFonts w:ascii="Times New Roman" w:hAnsi="Times New Roman" w:cs="Times New Roman"/>
          <w:sz w:val="22"/>
          <w:szCs w:val="22"/>
        </w:rPr>
        <w:t>e and carbonaceous aerosols than</w:t>
      </w:r>
      <w:r w:rsidR="009644D1" w:rsidRPr="0044342D">
        <w:rPr>
          <w:rFonts w:ascii="Times New Roman" w:hAnsi="Times New Roman" w:cs="Times New Roman"/>
          <w:sz w:val="22"/>
          <w:szCs w:val="22"/>
        </w:rPr>
        <w:t xml:space="preserve"> the previous</w:t>
      </w:r>
      <w:r w:rsidR="007245A4" w:rsidRPr="0044342D">
        <w:rPr>
          <w:rFonts w:ascii="Times New Roman" w:hAnsi="Times New Roman" w:cs="Times New Roman"/>
          <w:sz w:val="22"/>
          <w:szCs w:val="22"/>
        </w:rPr>
        <w:t xml:space="preserve"> </w:t>
      </w:r>
      <w:r w:rsidR="009644D1" w:rsidRPr="0044342D">
        <w:rPr>
          <w:rFonts w:ascii="Times New Roman" w:hAnsi="Times New Roman" w:cs="Times New Roman"/>
          <w:sz w:val="22"/>
          <w:szCs w:val="22"/>
        </w:rPr>
        <w:t>IPCC assessment</w:t>
      </w:r>
      <w:r w:rsidR="00AD657E" w:rsidRPr="0044342D">
        <w:rPr>
          <w:rFonts w:ascii="Times New Roman" w:hAnsi="Times New Roman" w:cs="Times New Roman"/>
          <w:sz w:val="22"/>
          <w:szCs w:val="22"/>
        </w:rPr>
        <w:t xml:space="preserve"> while noting that uncertainties in the influence of </w:t>
      </w:r>
      <w:r w:rsidR="00E14CA2" w:rsidRPr="0044342D">
        <w:rPr>
          <w:rFonts w:ascii="Times New Roman" w:hAnsi="Times New Roman" w:cs="Times New Roman"/>
          <w:sz w:val="22"/>
          <w:szCs w:val="22"/>
        </w:rPr>
        <w:t xml:space="preserve">aerosols </w:t>
      </w:r>
      <w:r w:rsidR="00AD657E" w:rsidRPr="0044342D">
        <w:rPr>
          <w:rFonts w:ascii="Times New Roman" w:hAnsi="Times New Roman" w:cs="Times New Roman"/>
          <w:sz w:val="22"/>
          <w:szCs w:val="22"/>
        </w:rPr>
        <w:t>remain large</w:t>
      </w:r>
      <w:r w:rsidR="007245A4" w:rsidRPr="0044342D">
        <w:rPr>
          <w:rFonts w:ascii="Times New Roman" w:hAnsi="Times New Roman" w:cs="Times New Roman"/>
          <w:sz w:val="22"/>
          <w:szCs w:val="22"/>
        </w:rPr>
        <w:t>.</w:t>
      </w:r>
    </w:p>
    <w:p w:rsidR="00A45DAD" w:rsidRPr="0044342D" w:rsidRDefault="00FC5BD0"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 xml:space="preserve">The AR5 highlights the difference in the climate impacts of SLCPs and long-lived gases (such as </w:t>
      </w:r>
      <w:r w:rsidR="00DD7E8E" w:rsidRPr="0044342D">
        <w:rPr>
          <w:rFonts w:ascii="Times New Roman" w:hAnsi="Times New Roman" w:cs="Times New Roman"/>
          <w:sz w:val="22"/>
          <w:szCs w:val="22"/>
        </w:rPr>
        <w:t>carbon dioxide (</w:t>
      </w:r>
      <w:r w:rsidRPr="0044342D">
        <w:rPr>
          <w:rFonts w:ascii="Times New Roman" w:hAnsi="Times New Roman" w:cs="Times New Roman"/>
          <w:sz w:val="22"/>
          <w:szCs w:val="22"/>
        </w:rPr>
        <w:t>CO</w:t>
      </w:r>
      <w:r w:rsidRPr="0044342D">
        <w:rPr>
          <w:rFonts w:ascii="Times New Roman" w:hAnsi="Times New Roman" w:cs="Times New Roman"/>
          <w:sz w:val="22"/>
          <w:szCs w:val="22"/>
          <w:vertAlign w:val="subscript"/>
        </w:rPr>
        <w:t>2</w:t>
      </w:r>
      <w:r w:rsidRPr="0044342D">
        <w:rPr>
          <w:rFonts w:ascii="Times New Roman" w:hAnsi="Times New Roman" w:cs="Times New Roman"/>
          <w:sz w:val="22"/>
          <w:szCs w:val="22"/>
        </w:rPr>
        <w:t>)</w:t>
      </w:r>
      <w:r w:rsidR="00DD7E8E" w:rsidRPr="0044342D">
        <w:rPr>
          <w:rFonts w:ascii="Times New Roman" w:hAnsi="Times New Roman" w:cs="Times New Roman"/>
          <w:sz w:val="22"/>
          <w:szCs w:val="22"/>
        </w:rPr>
        <w:t>)</w:t>
      </w:r>
      <w:r w:rsidRPr="0044342D">
        <w:rPr>
          <w:rFonts w:ascii="Times New Roman" w:hAnsi="Times New Roman" w:cs="Times New Roman"/>
          <w:sz w:val="22"/>
          <w:szCs w:val="22"/>
        </w:rPr>
        <w:t xml:space="preserve">. </w:t>
      </w:r>
      <w:r w:rsidR="00B078F1" w:rsidRPr="0044342D">
        <w:rPr>
          <w:rFonts w:ascii="Times New Roman" w:hAnsi="Times New Roman" w:cs="Times New Roman"/>
          <w:sz w:val="22"/>
          <w:szCs w:val="22"/>
        </w:rPr>
        <w:t xml:space="preserve">It </w:t>
      </w:r>
      <w:r w:rsidR="00351D07" w:rsidRPr="0044342D">
        <w:rPr>
          <w:rFonts w:ascii="Times New Roman" w:hAnsi="Times New Roman" w:cs="Times New Roman"/>
          <w:sz w:val="22"/>
          <w:szCs w:val="22"/>
        </w:rPr>
        <w:t xml:space="preserve">reports </w:t>
      </w:r>
      <w:r w:rsidR="00B078F1" w:rsidRPr="0044342D">
        <w:rPr>
          <w:rFonts w:ascii="Times New Roman" w:hAnsi="Times New Roman" w:cs="Times New Roman"/>
          <w:sz w:val="22"/>
          <w:szCs w:val="22"/>
        </w:rPr>
        <w:t>that although</w:t>
      </w:r>
      <w:r w:rsidR="00DF771E" w:rsidRPr="0044342D">
        <w:rPr>
          <w:rFonts w:ascii="Times New Roman" w:hAnsi="Times New Roman" w:cs="Times New Roman"/>
          <w:sz w:val="22"/>
          <w:szCs w:val="22"/>
        </w:rPr>
        <w:t xml:space="preserve"> simple metrics are commonly used to assess the relative impact of different pollutants (e.g. under the Kyoto Protocol), metric “</w:t>
      </w:r>
      <w:r w:rsidR="00DF771E" w:rsidRPr="0044342D">
        <w:rPr>
          <w:rFonts w:ascii="Times New Roman" w:hAnsi="Times New Roman" w:cs="Times New Roman"/>
          <w:color w:val="000000"/>
          <w:sz w:val="22"/>
          <w:szCs w:val="22"/>
        </w:rPr>
        <w:t>values are very dependent on metric type and time horizon</w:t>
      </w:r>
      <w:r w:rsidR="00DF771E" w:rsidRPr="0044342D">
        <w:rPr>
          <w:rFonts w:ascii="Times New Roman" w:hAnsi="Times New Roman" w:cs="Times New Roman"/>
          <w:sz w:val="22"/>
          <w:szCs w:val="22"/>
        </w:rPr>
        <w:t>”</w:t>
      </w:r>
      <w:r w:rsidR="00B078F1" w:rsidRPr="0044342D">
        <w:rPr>
          <w:rFonts w:ascii="Times New Roman" w:hAnsi="Times New Roman" w:cs="Times New Roman"/>
          <w:sz w:val="22"/>
          <w:szCs w:val="22"/>
        </w:rPr>
        <w:t>, especially in comparing SLCPs and CO</w:t>
      </w:r>
      <w:r w:rsidR="00B078F1" w:rsidRPr="0044342D">
        <w:rPr>
          <w:rFonts w:ascii="Times New Roman" w:hAnsi="Times New Roman" w:cs="Times New Roman"/>
          <w:sz w:val="22"/>
          <w:szCs w:val="22"/>
          <w:vertAlign w:val="subscript"/>
        </w:rPr>
        <w:t>2</w:t>
      </w:r>
      <w:r w:rsidR="00B078F1" w:rsidRPr="0044342D">
        <w:rPr>
          <w:rFonts w:ascii="Times New Roman" w:hAnsi="Times New Roman" w:cs="Times New Roman"/>
          <w:sz w:val="22"/>
          <w:szCs w:val="22"/>
        </w:rPr>
        <w:t>.</w:t>
      </w:r>
      <w:r w:rsidR="00DF771E" w:rsidRPr="0044342D">
        <w:rPr>
          <w:rFonts w:ascii="Times New Roman" w:hAnsi="Times New Roman" w:cs="Times New Roman"/>
          <w:sz w:val="22"/>
          <w:szCs w:val="22"/>
        </w:rPr>
        <w:t xml:space="preserve"> </w:t>
      </w:r>
      <w:r w:rsidR="00282CC7" w:rsidRPr="0044342D">
        <w:rPr>
          <w:rFonts w:ascii="Times New Roman" w:hAnsi="Times New Roman" w:cs="Times New Roman"/>
          <w:sz w:val="22"/>
          <w:szCs w:val="22"/>
        </w:rPr>
        <w:t xml:space="preserve">The AR5 therefore </w:t>
      </w:r>
      <w:r w:rsidR="00DF771E" w:rsidRPr="0044342D">
        <w:rPr>
          <w:rFonts w:ascii="Times New Roman" w:hAnsi="Times New Roman" w:cs="Times New Roman"/>
          <w:sz w:val="22"/>
          <w:szCs w:val="22"/>
        </w:rPr>
        <w:t>does not endorse any single metric or time horizon as preferable</w:t>
      </w:r>
      <w:r w:rsidR="00282CC7" w:rsidRPr="0044342D">
        <w:rPr>
          <w:rFonts w:ascii="Times New Roman" w:hAnsi="Times New Roman" w:cs="Times New Roman"/>
          <w:sz w:val="22"/>
          <w:szCs w:val="22"/>
        </w:rPr>
        <w:t xml:space="preserve"> for character</w:t>
      </w:r>
      <w:r w:rsidR="003D6018" w:rsidRPr="0044342D">
        <w:rPr>
          <w:rFonts w:ascii="Times New Roman" w:hAnsi="Times New Roman" w:cs="Times New Roman"/>
          <w:sz w:val="22"/>
          <w:szCs w:val="22"/>
        </w:rPr>
        <w:t>izing the impacts of pollutants, instead</w:t>
      </w:r>
      <w:r w:rsidR="00E460B7" w:rsidRPr="0044342D">
        <w:rPr>
          <w:rFonts w:ascii="Times New Roman" w:hAnsi="Times New Roman" w:cs="Times New Roman"/>
          <w:sz w:val="22"/>
          <w:szCs w:val="22"/>
        </w:rPr>
        <w:t xml:space="preserve"> </w:t>
      </w:r>
      <w:r w:rsidR="003D6018" w:rsidRPr="0044342D">
        <w:rPr>
          <w:rFonts w:ascii="Times New Roman" w:hAnsi="Times New Roman" w:cs="Times New Roman"/>
          <w:sz w:val="22"/>
          <w:szCs w:val="22"/>
        </w:rPr>
        <w:t xml:space="preserve">concluding </w:t>
      </w:r>
      <w:r w:rsidR="00DF771E" w:rsidRPr="0044342D">
        <w:rPr>
          <w:rFonts w:ascii="Times New Roman" w:hAnsi="Times New Roman" w:cs="Times New Roman"/>
          <w:sz w:val="22"/>
          <w:szCs w:val="22"/>
        </w:rPr>
        <w:t xml:space="preserve">that </w:t>
      </w:r>
      <w:r w:rsidR="004065FE" w:rsidRPr="0044342D">
        <w:rPr>
          <w:rFonts w:ascii="Times New Roman" w:hAnsi="Times New Roman" w:cs="Times New Roman"/>
          <w:sz w:val="22"/>
          <w:szCs w:val="22"/>
        </w:rPr>
        <w:t>impact analyses need to consider</w:t>
      </w:r>
      <w:r w:rsidR="00E460B7" w:rsidRPr="0044342D">
        <w:rPr>
          <w:rFonts w:ascii="Times New Roman" w:hAnsi="Times New Roman" w:cs="Times New Roman"/>
          <w:sz w:val="22"/>
          <w:szCs w:val="22"/>
        </w:rPr>
        <w:t xml:space="preserve"> multiple endpoints, such as both near-term and long-term climate change</w:t>
      </w:r>
      <w:r w:rsidR="003541CB" w:rsidRPr="0044342D">
        <w:rPr>
          <w:rFonts w:ascii="Times New Roman" w:hAnsi="Times New Roman" w:cs="Times New Roman"/>
          <w:sz w:val="22"/>
          <w:szCs w:val="22"/>
        </w:rPr>
        <w:t xml:space="preserve"> and</w:t>
      </w:r>
      <w:r w:rsidR="006110A4" w:rsidRPr="0044342D">
        <w:rPr>
          <w:rFonts w:ascii="Times New Roman" w:hAnsi="Times New Roman" w:cs="Times New Roman"/>
          <w:sz w:val="22"/>
          <w:szCs w:val="22"/>
        </w:rPr>
        <w:t xml:space="preserve"> rate</w:t>
      </w:r>
      <w:r w:rsidR="003541CB" w:rsidRPr="0044342D">
        <w:rPr>
          <w:rFonts w:ascii="Times New Roman" w:hAnsi="Times New Roman" w:cs="Times New Roman"/>
          <w:sz w:val="22"/>
          <w:szCs w:val="22"/>
        </w:rPr>
        <w:t>s</w:t>
      </w:r>
      <w:r w:rsidR="006110A4" w:rsidRPr="0044342D">
        <w:rPr>
          <w:rFonts w:ascii="Times New Roman" w:hAnsi="Times New Roman" w:cs="Times New Roman"/>
          <w:sz w:val="22"/>
          <w:szCs w:val="22"/>
        </w:rPr>
        <w:t xml:space="preserve"> of climate change</w:t>
      </w:r>
      <w:r w:rsidR="00E460B7" w:rsidRPr="0044342D">
        <w:rPr>
          <w:rFonts w:ascii="Times New Roman" w:hAnsi="Times New Roman" w:cs="Times New Roman"/>
          <w:sz w:val="22"/>
          <w:szCs w:val="22"/>
        </w:rPr>
        <w:t>.</w:t>
      </w:r>
      <w:r w:rsidR="004065FE" w:rsidRPr="0044342D">
        <w:rPr>
          <w:rFonts w:ascii="Times New Roman" w:hAnsi="Times New Roman" w:cs="Times New Roman"/>
          <w:sz w:val="22"/>
          <w:szCs w:val="22"/>
        </w:rPr>
        <w:t xml:space="preserve"> </w:t>
      </w:r>
      <w:r w:rsidR="00980617" w:rsidRPr="0044342D">
        <w:rPr>
          <w:rFonts w:ascii="Times New Roman" w:hAnsi="Times New Roman" w:cs="Times New Roman"/>
          <w:sz w:val="22"/>
          <w:szCs w:val="22"/>
        </w:rPr>
        <w:t>T</w:t>
      </w:r>
      <w:r w:rsidR="004065FE" w:rsidRPr="0044342D">
        <w:rPr>
          <w:rFonts w:ascii="Times New Roman" w:hAnsi="Times New Roman" w:cs="Times New Roman"/>
          <w:sz w:val="22"/>
          <w:szCs w:val="22"/>
        </w:rPr>
        <w:t>hese conclusions imply</w:t>
      </w:r>
      <w:r w:rsidR="00DF771E" w:rsidRPr="0044342D">
        <w:rPr>
          <w:rFonts w:ascii="Times New Roman" w:hAnsi="Times New Roman" w:cs="Times New Roman"/>
          <w:sz w:val="22"/>
          <w:szCs w:val="22"/>
        </w:rPr>
        <w:t xml:space="preserve"> that SLCPs should not be traded against CO</w:t>
      </w:r>
      <w:r w:rsidR="00DF771E" w:rsidRPr="0044342D">
        <w:rPr>
          <w:rFonts w:ascii="Times New Roman" w:hAnsi="Times New Roman" w:cs="Times New Roman"/>
          <w:sz w:val="22"/>
          <w:szCs w:val="22"/>
          <w:vertAlign w:val="subscript"/>
        </w:rPr>
        <w:t>2</w:t>
      </w:r>
      <w:r w:rsidR="00DF771E" w:rsidRPr="0044342D">
        <w:rPr>
          <w:rFonts w:ascii="Times New Roman" w:hAnsi="Times New Roman" w:cs="Times New Roman"/>
          <w:sz w:val="22"/>
          <w:szCs w:val="22"/>
        </w:rPr>
        <w:t xml:space="preserve"> as any</w:t>
      </w:r>
      <w:r w:rsidR="004065FE" w:rsidRPr="0044342D">
        <w:rPr>
          <w:rFonts w:ascii="Times New Roman" w:hAnsi="Times New Roman" w:cs="Times New Roman"/>
          <w:sz w:val="22"/>
          <w:szCs w:val="22"/>
        </w:rPr>
        <w:t xml:space="preserve"> method to establish ‘equivalence’ in a particular impact would not hold for other impacts, and they support the CCAC’s </w:t>
      </w:r>
      <w:r w:rsidR="00342547" w:rsidRPr="0044342D">
        <w:rPr>
          <w:rFonts w:ascii="Times New Roman" w:hAnsi="Times New Roman" w:cs="Times New Roman"/>
          <w:sz w:val="22"/>
          <w:szCs w:val="22"/>
        </w:rPr>
        <w:t xml:space="preserve">focus on SLCPs </w:t>
      </w:r>
      <w:r w:rsidR="004065FE" w:rsidRPr="0044342D">
        <w:rPr>
          <w:rFonts w:ascii="Times New Roman" w:hAnsi="Times New Roman" w:cs="Times New Roman"/>
          <w:sz w:val="22"/>
          <w:szCs w:val="22"/>
        </w:rPr>
        <w:t>as complimentary to, but not substituting for, actions to reduce CO</w:t>
      </w:r>
      <w:r w:rsidR="004065FE" w:rsidRPr="0044342D">
        <w:rPr>
          <w:rFonts w:ascii="Times New Roman" w:hAnsi="Times New Roman" w:cs="Times New Roman"/>
          <w:sz w:val="22"/>
          <w:szCs w:val="22"/>
          <w:vertAlign w:val="subscript"/>
        </w:rPr>
        <w:t>2</w:t>
      </w:r>
      <w:r w:rsidR="004065FE" w:rsidRPr="0044342D">
        <w:rPr>
          <w:rFonts w:ascii="Times New Roman" w:hAnsi="Times New Roman" w:cs="Times New Roman"/>
          <w:sz w:val="22"/>
          <w:szCs w:val="22"/>
        </w:rPr>
        <w:t xml:space="preserve"> emissions.</w:t>
      </w:r>
    </w:p>
    <w:p w:rsidR="00E13007" w:rsidRPr="0044342D" w:rsidRDefault="00E13007"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The AR5 also features a Frequently Asked Question (FAQ 8.2) “</w:t>
      </w:r>
      <w:r w:rsidRPr="0044342D">
        <w:rPr>
          <w:rStyle w:val="A14"/>
          <w:rFonts w:ascii="Times New Roman" w:hAnsi="Times New Roman" w:cs="Times New Roman"/>
          <w:b w:val="0"/>
        </w:rPr>
        <w:t>Do Improvements in Air Quality Have an Effect on Climate Change?</w:t>
      </w:r>
      <w:r w:rsidRPr="0044342D">
        <w:rPr>
          <w:rFonts w:ascii="Times New Roman" w:hAnsi="Times New Roman" w:cs="Times New Roman"/>
          <w:sz w:val="22"/>
          <w:szCs w:val="22"/>
        </w:rPr>
        <w:t>” It concludes that they do, and illustrates the effects that both ozone and particulate matter pollution controls may have on climate (see Figure</w:t>
      </w:r>
      <w:r w:rsidR="00DD7E8E" w:rsidRPr="0044342D">
        <w:rPr>
          <w:rFonts w:ascii="Times New Roman" w:hAnsi="Times New Roman" w:cs="Times New Roman"/>
          <w:sz w:val="22"/>
          <w:szCs w:val="22"/>
        </w:rPr>
        <w:t xml:space="preserve"> 1</w:t>
      </w:r>
      <w:r w:rsidRPr="0044342D">
        <w:rPr>
          <w:rFonts w:ascii="Times New Roman" w:hAnsi="Times New Roman" w:cs="Times New Roman"/>
          <w:sz w:val="22"/>
          <w:szCs w:val="22"/>
        </w:rPr>
        <w:t>). It also notes “</w:t>
      </w:r>
      <w:r w:rsidRPr="0044342D">
        <w:rPr>
          <w:rFonts w:ascii="Times New Roman" w:hAnsi="Times New Roman" w:cs="Times New Roman"/>
          <w:color w:val="000000"/>
          <w:sz w:val="22"/>
          <w:szCs w:val="22"/>
        </w:rPr>
        <w:t>controls on anthropogenic emissions of methane to lower surface ozone have been identified as ‘win–win’ situations</w:t>
      </w:r>
      <w:r w:rsidRPr="0044342D">
        <w:rPr>
          <w:rFonts w:ascii="Times New Roman" w:hAnsi="Times New Roman" w:cs="Times New Roman"/>
          <w:sz w:val="22"/>
          <w:szCs w:val="22"/>
        </w:rPr>
        <w:t>”, with the ‘wins’ referring to improved air quality and reduced climate change. These conclusions broadly support the foci of the CCAC.</w:t>
      </w:r>
    </w:p>
    <w:p w:rsidR="00E13007" w:rsidRPr="0044342D" w:rsidRDefault="0044342D" w:rsidP="0044342D">
      <w:pPr>
        <w:spacing w:line="276" w:lineRule="auto"/>
        <w:rPr>
          <w:rFonts w:ascii="Times New Roman" w:hAnsi="Times New Roman" w:cs="Times New Roman"/>
          <w:sz w:val="22"/>
          <w:szCs w:val="22"/>
        </w:rPr>
      </w:pPr>
      <w:r w:rsidRPr="0044342D">
        <w:rPr>
          <w:rFonts w:ascii="Times New Roman" w:hAnsi="Times New Roman" w:cs="Times New Roman"/>
          <w:noProof/>
          <w:sz w:val="22"/>
          <w:szCs w:val="22"/>
        </w:rPr>
        <w:drawing>
          <wp:anchor distT="0" distB="0" distL="114300" distR="114300" simplePos="0" relativeHeight="251662336" behindDoc="1" locked="0" layoutInCell="1" allowOverlap="1" wp14:anchorId="69EDA170" wp14:editId="5C573302">
            <wp:simplePos x="0" y="0"/>
            <wp:positionH relativeFrom="column">
              <wp:posOffset>590550</wp:posOffset>
            </wp:positionH>
            <wp:positionV relativeFrom="paragraph">
              <wp:posOffset>114935</wp:posOffset>
            </wp:positionV>
            <wp:extent cx="4752975" cy="2628900"/>
            <wp:effectExtent l="0" t="0" r="0" b="0"/>
            <wp:wrapNone/>
            <wp:docPr id="11" name="Picture 3" descr="::AR5:Copyedited figures ch8:FAQ8.2_Fig1_revTSU.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5:Copyedited figures ch8:FAQ8.2_Fig1_revTSU.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2628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spacing w:line="276" w:lineRule="auto"/>
        <w:rPr>
          <w:rFonts w:ascii="Times New Roman" w:hAnsi="Times New Roman" w:cs="Times New Roman"/>
          <w:sz w:val="22"/>
          <w:szCs w:val="22"/>
        </w:rPr>
      </w:pPr>
    </w:p>
    <w:p w:rsidR="0044342D" w:rsidRPr="0044342D" w:rsidRDefault="0044342D" w:rsidP="0044342D">
      <w:pPr>
        <w:rPr>
          <w:rFonts w:ascii="Times New Roman" w:hAnsi="Times New Roman" w:cs="Times New Roman"/>
          <w:sz w:val="22"/>
          <w:szCs w:val="22"/>
        </w:rPr>
      </w:pPr>
    </w:p>
    <w:p w:rsidR="0044342D" w:rsidRPr="0044342D" w:rsidRDefault="0044342D" w:rsidP="0044342D">
      <w:pPr>
        <w:rPr>
          <w:rFonts w:ascii="Times New Roman" w:hAnsi="Times New Roman" w:cs="Times New Roman"/>
          <w:sz w:val="22"/>
          <w:szCs w:val="22"/>
        </w:rPr>
      </w:pPr>
    </w:p>
    <w:p w:rsidR="0044342D" w:rsidRPr="0044342D" w:rsidRDefault="0044342D" w:rsidP="0044342D">
      <w:pPr>
        <w:rPr>
          <w:rFonts w:ascii="Times New Roman" w:hAnsi="Times New Roman" w:cs="Times New Roman"/>
          <w:sz w:val="22"/>
          <w:szCs w:val="22"/>
        </w:rPr>
      </w:pPr>
    </w:p>
    <w:p w:rsidR="0044342D" w:rsidRPr="0044342D" w:rsidRDefault="0044342D" w:rsidP="0044342D">
      <w:pPr>
        <w:rPr>
          <w:rFonts w:ascii="Times New Roman" w:hAnsi="Times New Roman" w:cs="Times New Roman"/>
          <w:b/>
          <w:sz w:val="22"/>
          <w:szCs w:val="22"/>
        </w:rPr>
      </w:pPr>
    </w:p>
    <w:p w:rsidR="0044342D" w:rsidRDefault="0044342D" w:rsidP="0044342D">
      <w:pPr>
        <w:rPr>
          <w:rFonts w:ascii="Times New Roman" w:hAnsi="Times New Roman" w:cs="Times New Roman"/>
          <w:b/>
          <w:sz w:val="22"/>
          <w:szCs w:val="22"/>
        </w:rPr>
      </w:pPr>
    </w:p>
    <w:p w:rsidR="0044342D" w:rsidRDefault="0044342D" w:rsidP="0044342D">
      <w:pPr>
        <w:rPr>
          <w:rFonts w:ascii="Times New Roman" w:hAnsi="Times New Roman" w:cs="Times New Roman"/>
          <w:b/>
          <w:sz w:val="22"/>
          <w:szCs w:val="22"/>
        </w:rPr>
      </w:pPr>
    </w:p>
    <w:p w:rsidR="0044342D" w:rsidRDefault="0044342D" w:rsidP="0044342D">
      <w:pPr>
        <w:rPr>
          <w:rFonts w:ascii="Times New Roman" w:hAnsi="Times New Roman" w:cs="Times New Roman"/>
          <w:b/>
          <w:sz w:val="22"/>
          <w:szCs w:val="22"/>
        </w:rPr>
      </w:pPr>
    </w:p>
    <w:p w:rsidR="0044342D" w:rsidRDefault="0044342D" w:rsidP="0044342D">
      <w:pPr>
        <w:rPr>
          <w:rFonts w:ascii="Times New Roman" w:hAnsi="Times New Roman" w:cs="Times New Roman"/>
          <w:b/>
          <w:sz w:val="22"/>
          <w:szCs w:val="22"/>
        </w:rPr>
      </w:pPr>
    </w:p>
    <w:p w:rsidR="0044342D" w:rsidRPr="0044342D" w:rsidRDefault="00E13007" w:rsidP="0044342D">
      <w:pPr>
        <w:rPr>
          <w:rFonts w:ascii="Times New Roman" w:hAnsi="Times New Roman" w:cs="Times New Roman"/>
          <w:b/>
          <w:sz w:val="20"/>
          <w:szCs w:val="20"/>
          <w:u w:val="single"/>
        </w:rPr>
      </w:pPr>
      <w:r w:rsidRPr="0044342D">
        <w:rPr>
          <w:rFonts w:ascii="Times New Roman" w:hAnsi="Times New Roman" w:cs="Times New Roman"/>
          <w:b/>
          <w:sz w:val="20"/>
          <w:szCs w:val="20"/>
        </w:rPr>
        <w:t xml:space="preserve">Figure </w:t>
      </w:r>
      <w:r w:rsidR="00DD7E8E" w:rsidRPr="0044342D">
        <w:rPr>
          <w:rFonts w:ascii="Times New Roman" w:hAnsi="Times New Roman" w:cs="Times New Roman"/>
          <w:b/>
          <w:sz w:val="20"/>
          <w:szCs w:val="20"/>
        </w:rPr>
        <w:t>1</w:t>
      </w:r>
      <w:r w:rsidR="0044342D" w:rsidRPr="0044342D">
        <w:rPr>
          <w:rFonts w:ascii="Times New Roman" w:hAnsi="Times New Roman" w:cs="Times New Roman"/>
          <w:sz w:val="20"/>
          <w:szCs w:val="20"/>
        </w:rPr>
        <w:t>,</w:t>
      </w:r>
      <w:r w:rsidR="00DD7E8E" w:rsidRPr="0044342D">
        <w:rPr>
          <w:rFonts w:ascii="Times New Roman" w:hAnsi="Times New Roman" w:cs="Times New Roman"/>
          <w:sz w:val="20"/>
          <w:szCs w:val="20"/>
        </w:rPr>
        <w:t xml:space="preserve"> </w:t>
      </w:r>
      <w:r w:rsidRPr="0044342D">
        <w:rPr>
          <w:rFonts w:ascii="Times New Roman" w:hAnsi="Times New Roman" w:cs="Times New Roman"/>
          <w:sz w:val="20"/>
          <w:szCs w:val="20"/>
        </w:rPr>
        <w:t xml:space="preserve">showing that ozone and particulate matter controls affect individual pollutant emissions and how those changes in turn influence climate. </w:t>
      </w:r>
      <w:r w:rsidRPr="0044342D">
        <w:rPr>
          <w:rFonts w:ascii="Times New Roman" w:hAnsi="Times New Roman" w:cs="Times New Roman"/>
          <w:color w:val="000000"/>
          <w:sz w:val="20"/>
          <w:szCs w:val="20"/>
        </w:rPr>
        <w:t>Solid black line</w:t>
      </w:r>
      <w:r w:rsidR="00466B96" w:rsidRPr="0044342D">
        <w:rPr>
          <w:rFonts w:ascii="Times New Roman" w:hAnsi="Times New Roman" w:cs="Times New Roman"/>
          <w:color w:val="000000"/>
          <w:sz w:val="20"/>
          <w:szCs w:val="20"/>
        </w:rPr>
        <w:t>s</w:t>
      </w:r>
      <w:r w:rsidRPr="0044342D">
        <w:rPr>
          <w:rFonts w:ascii="Times New Roman" w:hAnsi="Times New Roman" w:cs="Times New Roman"/>
          <w:color w:val="000000"/>
          <w:sz w:val="20"/>
          <w:szCs w:val="20"/>
        </w:rPr>
        <w:t xml:space="preserve"> indica</w:t>
      </w:r>
      <w:r w:rsidR="00466B96" w:rsidRPr="0044342D">
        <w:rPr>
          <w:rFonts w:ascii="Times New Roman" w:hAnsi="Times New Roman" w:cs="Times New Roman"/>
          <w:color w:val="000000"/>
          <w:sz w:val="20"/>
          <w:szCs w:val="20"/>
        </w:rPr>
        <w:t>te known processes</w:t>
      </w:r>
      <w:r w:rsidRPr="0044342D">
        <w:rPr>
          <w:rFonts w:ascii="Times New Roman" w:hAnsi="Times New Roman" w:cs="Times New Roman"/>
          <w:color w:val="000000"/>
          <w:sz w:val="20"/>
          <w:szCs w:val="20"/>
        </w:rPr>
        <w:t>; dashed line</w:t>
      </w:r>
      <w:r w:rsidR="00466B96" w:rsidRPr="0044342D">
        <w:rPr>
          <w:rFonts w:ascii="Times New Roman" w:hAnsi="Times New Roman" w:cs="Times New Roman"/>
          <w:color w:val="000000"/>
          <w:sz w:val="20"/>
          <w:szCs w:val="20"/>
        </w:rPr>
        <w:t>s indicate possible processes (not net impacts)</w:t>
      </w:r>
      <w:r w:rsidRPr="0044342D">
        <w:rPr>
          <w:rFonts w:ascii="Times New Roman" w:hAnsi="Times New Roman" w:cs="Times New Roman"/>
          <w:color w:val="000000"/>
          <w:sz w:val="20"/>
          <w:szCs w:val="20"/>
        </w:rPr>
        <w:t>. Reprinted from IPCC AR5, Chapter 8, FAQ 8.2.</w:t>
      </w:r>
    </w:p>
    <w:p w:rsidR="00230F3E" w:rsidRDefault="00DF771E"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br w:type="page"/>
      </w:r>
    </w:p>
    <w:p w:rsidR="00230F3E" w:rsidRDefault="00230F3E" w:rsidP="0044342D">
      <w:pPr>
        <w:spacing w:line="276" w:lineRule="auto"/>
        <w:rPr>
          <w:rFonts w:ascii="Times New Roman" w:hAnsi="Times New Roman" w:cs="Times New Roman"/>
          <w:sz w:val="22"/>
          <w:szCs w:val="22"/>
        </w:rPr>
      </w:pPr>
    </w:p>
    <w:p w:rsidR="00A45DAD" w:rsidRPr="0044342D" w:rsidRDefault="00A45DAD" w:rsidP="0044342D">
      <w:pPr>
        <w:spacing w:line="276" w:lineRule="auto"/>
        <w:rPr>
          <w:rFonts w:ascii="Times New Roman" w:hAnsi="Times New Roman" w:cs="Times New Roman"/>
          <w:b/>
          <w:color w:val="365F91" w:themeColor="accent1" w:themeShade="BF"/>
          <w:sz w:val="22"/>
          <w:szCs w:val="22"/>
        </w:rPr>
      </w:pPr>
      <w:r w:rsidRPr="0044342D">
        <w:rPr>
          <w:rFonts w:ascii="Times New Roman" w:hAnsi="Times New Roman" w:cs="Times New Roman"/>
          <w:b/>
          <w:color w:val="365F91" w:themeColor="accent1" w:themeShade="BF"/>
          <w:sz w:val="22"/>
          <w:szCs w:val="22"/>
        </w:rPr>
        <w:t>Technical Summary of SLCPs in AR5</w:t>
      </w:r>
      <w:r w:rsidR="00737355" w:rsidRPr="0044342D">
        <w:rPr>
          <w:rFonts w:ascii="Times New Roman" w:hAnsi="Times New Roman" w:cs="Times New Roman"/>
          <w:b/>
          <w:color w:val="365F91" w:themeColor="accent1" w:themeShade="BF"/>
          <w:sz w:val="22"/>
          <w:szCs w:val="22"/>
        </w:rPr>
        <w:t xml:space="preserve"> WGI</w:t>
      </w:r>
    </w:p>
    <w:p w:rsidR="0020382A" w:rsidRPr="0044342D" w:rsidRDefault="00806D0E"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 xml:space="preserve">IPCC AR5 discusses all the factors driving climate change, including the many </w:t>
      </w:r>
      <w:r w:rsidR="004F6461" w:rsidRPr="0044342D">
        <w:rPr>
          <w:rFonts w:ascii="Times New Roman" w:hAnsi="Times New Roman" w:cs="Times New Roman"/>
          <w:sz w:val="22"/>
          <w:szCs w:val="22"/>
        </w:rPr>
        <w:t xml:space="preserve">natural and </w:t>
      </w:r>
      <w:r w:rsidRPr="0044342D">
        <w:rPr>
          <w:rFonts w:ascii="Times New Roman" w:hAnsi="Times New Roman" w:cs="Times New Roman"/>
          <w:sz w:val="22"/>
          <w:szCs w:val="22"/>
        </w:rPr>
        <w:t xml:space="preserve">anthropogenic emissions of gases, aerosols and their precursors. </w:t>
      </w:r>
      <w:r w:rsidR="00A532EB" w:rsidRPr="0044342D">
        <w:rPr>
          <w:rFonts w:ascii="Times New Roman" w:hAnsi="Times New Roman" w:cs="Times New Roman"/>
          <w:sz w:val="22"/>
          <w:szCs w:val="22"/>
        </w:rPr>
        <w:t xml:space="preserve">This brief </w:t>
      </w:r>
      <w:r w:rsidR="004F6461" w:rsidRPr="0044342D">
        <w:rPr>
          <w:rFonts w:ascii="Times New Roman" w:hAnsi="Times New Roman" w:cs="Times New Roman"/>
          <w:sz w:val="22"/>
          <w:szCs w:val="22"/>
        </w:rPr>
        <w:t>discuss</w:t>
      </w:r>
      <w:r w:rsidR="00A532EB" w:rsidRPr="0044342D">
        <w:rPr>
          <w:rFonts w:ascii="Times New Roman" w:hAnsi="Times New Roman" w:cs="Times New Roman"/>
          <w:sz w:val="22"/>
          <w:szCs w:val="22"/>
        </w:rPr>
        <w:t>es</w:t>
      </w:r>
      <w:r w:rsidR="004F6461" w:rsidRPr="0044342D">
        <w:rPr>
          <w:rFonts w:ascii="Times New Roman" w:hAnsi="Times New Roman" w:cs="Times New Roman"/>
          <w:sz w:val="22"/>
          <w:szCs w:val="22"/>
        </w:rPr>
        <w:t xml:space="preserve"> the anthropogenic emissions. </w:t>
      </w:r>
      <w:r w:rsidR="008F7B8E" w:rsidRPr="0044342D">
        <w:rPr>
          <w:rFonts w:ascii="Times New Roman" w:hAnsi="Times New Roman" w:cs="Times New Roman"/>
          <w:sz w:val="22"/>
          <w:szCs w:val="22"/>
        </w:rPr>
        <w:t xml:space="preserve">These emissions are grouped into two categories </w:t>
      </w:r>
      <w:r w:rsidR="0086564A" w:rsidRPr="0044342D">
        <w:rPr>
          <w:rFonts w:ascii="Times New Roman" w:hAnsi="Times New Roman" w:cs="Times New Roman"/>
          <w:sz w:val="22"/>
          <w:szCs w:val="22"/>
        </w:rPr>
        <w:t>(Box 8.2)</w:t>
      </w:r>
      <w:r w:rsidR="00B51C00" w:rsidRPr="0044342D">
        <w:rPr>
          <w:rFonts w:ascii="Times New Roman" w:hAnsi="Times New Roman" w:cs="Times New Roman"/>
          <w:sz w:val="22"/>
          <w:szCs w:val="22"/>
        </w:rPr>
        <w:t>: (1)</w:t>
      </w:r>
      <w:r w:rsidR="008F7B8E" w:rsidRPr="0044342D">
        <w:rPr>
          <w:rFonts w:ascii="Times New Roman" w:hAnsi="Times New Roman" w:cs="Times New Roman"/>
          <w:sz w:val="22"/>
          <w:szCs w:val="22"/>
        </w:rPr>
        <w:t xml:space="preserve"> well-mixed greenhouse gases </w:t>
      </w:r>
      <w:r w:rsidR="0083446C" w:rsidRPr="0044342D">
        <w:rPr>
          <w:rFonts w:ascii="Times New Roman" w:hAnsi="Times New Roman" w:cs="Times New Roman"/>
          <w:sz w:val="22"/>
          <w:szCs w:val="22"/>
        </w:rPr>
        <w:t xml:space="preserve">(WMGHG) </w:t>
      </w:r>
      <w:r w:rsidR="008F7B8E" w:rsidRPr="0044342D">
        <w:rPr>
          <w:rFonts w:ascii="Times New Roman" w:hAnsi="Times New Roman" w:cs="Times New Roman"/>
          <w:sz w:val="22"/>
          <w:szCs w:val="22"/>
        </w:rPr>
        <w:t xml:space="preserve">and </w:t>
      </w:r>
      <w:r w:rsidR="00B51C00" w:rsidRPr="0044342D">
        <w:rPr>
          <w:rFonts w:ascii="Times New Roman" w:hAnsi="Times New Roman" w:cs="Times New Roman"/>
          <w:sz w:val="22"/>
          <w:szCs w:val="22"/>
        </w:rPr>
        <w:t xml:space="preserve">(2) </w:t>
      </w:r>
      <w:r w:rsidR="008F7B8E" w:rsidRPr="0044342D">
        <w:rPr>
          <w:rFonts w:ascii="Times New Roman" w:hAnsi="Times New Roman" w:cs="Times New Roman"/>
          <w:sz w:val="22"/>
          <w:szCs w:val="22"/>
        </w:rPr>
        <w:t>near-term climate forcers</w:t>
      </w:r>
      <w:r w:rsidR="0083446C" w:rsidRPr="0044342D">
        <w:rPr>
          <w:rFonts w:ascii="Times New Roman" w:hAnsi="Times New Roman" w:cs="Times New Roman"/>
          <w:sz w:val="22"/>
          <w:szCs w:val="22"/>
        </w:rPr>
        <w:t xml:space="preserve"> (NTCF)</w:t>
      </w:r>
      <w:r w:rsidR="008F7B8E" w:rsidRPr="0044342D">
        <w:rPr>
          <w:rFonts w:ascii="Times New Roman" w:hAnsi="Times New Roman" w:cs="Times New Roman"/>
          <w:sz w:val="22"/>
          <w:szCs w:val="22"/>
        </w:rPr>
        <w:t>, with methane bein</w:t>
      </w:r>
      <w:r w:rsidR="000D4B78" w:rsidRPr="0044342D">
        <w:rPr>
          <w:rFonts w:ascii="Times New Roman" w:hAnsi="Times New Roman" w:cs="Times New Roman"/>
          <w:sz w:val="22"/>
          <w:szCs w:val="22"/>
        </w:rPr>
        <w:t>g included in both categories. The AR5 term ‘n</w:t>
      </w:r>
      <w:r w:rsidR="008F7B8E" w:rsidRPr="0044342D">
        <w:rPr>
          <w:rFonts w:ascii="Times New Roman" w:hAnsi="Times New Roman" w:cs="Times New Roman"/>
          <w:sz w:val="22"/>
          <w:szCs w:val="22"/>
        </w:rPr>
        <w:t>ear-term climate forcers</w:t>
      </w:r>
      <w:r w:rsidR="000D4B78" w:rsidRPr="0044342D">
        <w:rPr>
          <w:rFonts w:ascii="Times New Roman" w:hAnsi="Times New Roman" w:cs="Times New Roman"/>
          <w:sz w:val="22"/>
          <w:szCs w:val="22"/>
        </w:rPr>
        <w:t>’</w:t>
      </w:r>
      <w:r w:rsidR="008F7B8E" w:rsidRPr="0044342D">
        <w:rPr>
          <w:rFonts w:ascii="Times New Roman" w:hAnsi="Times New Roman" w:cs="Times New Roman"/>
          <w:sz w:val="22"/>
          <w:szCs w:val="22"/>
        </w:rPr>
        <w:t xml:space="preserve"> is equivalent to short-lived climate pollutants</w:t>
      </w:r>
      <w:r w:rsidR="008A195E" w:rsidRPr="0044342D">
        <w:rPr>
          <w:rFonts w:ascii="Times New Roman" w:hAnsi="Times New Roman" w:cs="Times New Roman"/>
          <w:sz w:val="22"/>
          <w:szCs w:val="22"/>
        </w:rPr>
        <w:t xml:space="preserve"> (and was used as the scientific community has not traditionally considered methane to be short-lived)</w:t>
      </w:r>
      <w:r w:rsidR="008F7B8E" w:rsidRPr="0044342D">
        <w:rPr>
          <w:rFonts w:ascii="Times New Roman" w:hAnsi="Times New Roman" w:cs="Times New Roman"/>
          <w:sz w:val="22"/>
          <w:szCs w:val="22"/>
        </w:rPr>
        <w:t>.</w:t>
      </w:r>
    </w:p>
    <w:p w:rsidR="00442090" w:rsidRPr="0044342D" w:rsidRDefault="00FD25EF"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ab/>
        <w:t>The radiative forcing (RF) over the industrial era (1750 to 2011) is one of the many aspects of SLCPs evaluated in AR5</w:t>
      </w:r>
      <w:r w:rsidR="005106AB" w:rsidRPr="0044342D">
        <w:rPr>
          <w:rFonts w:ascii="Times New Roman" w:hAnsi="Times New Roman" w:cs="Times New Roman"/>
          <w:sz w:val="22"/>
          <w:szCs w:val="22"/>
        </w:rPr>
        <w:t xml:space="preserve"> (Section 8.5)</w:t>
      </w:r>
      <w:r w:rsidRPr="0044342D">
        <w:rPr>
          <w:rFonts w:ascii="Times New Roman" w:hAnsi="Times New Roman" w:cs="Times New Roman"/>
          <w:sz w:val="22"/>
          <w:szCs w:val="22"/>
        </w:rPr>
        <w:t xml:space="preserve">. </w:t>
      </w:r>
      <w:r w:rsidR="00FE0E53" w:rsidRPr="0044342D">
        <w:rPr>
          <w:rFonts w:ascii="Times New Roman" w:hAnsi="Times New Roman" w:cs="Times New Roman"/>
          <w:sz w:val="22"/>
          <w:szCs w:val="22"/>
        </w:rPr>
        <w:t xml:space="preserve">While this is a common way to compare the impact of various historical emissions, </w:t>
      </w:r>
      <w:r w:rsidR="0068458E" w:rsidRPr="0044342D">
        <w:rPr>
          <w:rFonts w:ascii="Times New Roman" w:hAnsi="Times New Roman" w:cs="Times New Roman"/>
          <w:sz w:val="22"/>
          <w:szCs w:val="22"/>
        </w:rPr>
        <w:t>industrial-era RF does not relate directly to historical climate change or to the feas</w:t>
      </w:r>
      <w:r w:rsidR="007E38D7" w:rsidRPr="0044342D">
        <w:rPr>
          <w:rFonts w:ascii="Times New Roman" w:hAnsi="Times New Roman" w:cs="Times New Roman"/>
          <w:sz w:val="22"/>
          <w:szCs w:val="22"/>
        </w:rPr>
        <w:t xml:space="preserve">ibility of </w:t>
      </w:r>
      <w:r w:rsidR="00E348DB" w:rsidRPr="0044342D">
        <w:rPr>
          <w:rFonts w:ascii="Times New Roman" w:hAnsi="Times New Roman" w:cs="Times New Roman"/>
          <w:sz w:val="22"/>
          <w:szCs w:val="22"/>
        </w:rPr>
        <w:t xml:space="preserve">future </w:t>
      </w:r>
      <w:r w:rsidR="007E38D7" w:rsidRPr="0044342D">
        <w:rPr>
          <w:rFonts w:ascii="Times New Roman" w:hAnsi="Times New Roman" w:cs="Times New Roman"/>
          <w:sz w:val="22"/>
          <w:szCs w:val="22"/>
        </w:rPr>
        <w:t>emissions mitigation. I</w:t>
      </w:r>
      <w:r w:rsidR="00FE0E53" w:rsidRPr="0044342D">
        <w:rPr>
          <w:rFonts w:ascii="Times New Roman" w:hAnsi="Times New Roman" w:cs="Times New Roman"/>
          <w:sz w:val="22"/>
          <w:szCs w:val="22"/>
        </w:rPr>
        <w:t>t is</w:t>
      </w:r>
      <w:r w:rsidR="007E38D7" w:rsidRPr="0044342D">
        <w:rPr>
          <w:rFonts w:ascii="Times New Roman" w:hAnsi="Times New Roman" w:cs="Times New Roman"/>
          <w:sz w:val="22"/>
          <w:szCs w:val="22"/>
        </w:rPr>
        <w:t>, however,</w:t>
      </w:r>
      <w:r w:rsidR="00FE0E53" w:rsidRPr="0044342D">
        <w:rPr>
          <w:rFonts w:ascii="Times New Roman" w:hAnsi="Times New Roman" w:cs="Times New Roman"/>
          <w:sz w:val="22"/>
          <w:szCs w:val="22"/>
        </w:rPr>
        <w:t xml:space="preserve"> relevant to the SLCP issue in that the total forcing has been used in m</w:t>
      </w:r>
      <w:r w:rsidR="001479C2" w:rsidRPr="0044342D">
        <w:rPr>
          <w:rFonts w:ascii="Times New Roman" w:hAnsi="Times New Roman" w:cs="Times New Roman"/>
          <w:sz w:val="22"/>
          <w:szCs w:val="22"/>
        </w:rPr>
        <w:t xml:space="preserve">any </w:t>
      </w:r>
      <w:r w:rsidR="00FE0E53" w:rsidRPr="0044342D">
        <w:rPr>
          <w:rFonts w:ascii="Times New Roman" w:hAnsi="Times New Roman" w:cs="Times New Roman"/>
          <w:sz w:val="22"/>
          <w:szCs w:val="22"/>
        </w:rPr>
        <w:t>key studies of S</w:t>
      </w:r>
      <w:r w:rsidR="00592BFC" w:rsidRPr="0044342D">
        <w:rPr>
          <w:rFonts w:ascii="Times New Roman" w:hAnsi="Times New Roman" w:cs="Times New Roman"/>
          <w:sz w:val="22"/>
          <w:szCs w:val="22"/>
        </w:rPr>
        <w:t>L</w:t>
      </w:r>
      <w:r w:rsidR="001749E1" w:rsidRPr="0044342D">
        <w:rPr>
          <w:rFonts w:ascii="Times New Roman" w:hAnsi="Times New Roman" w:cs="Times New Roman"/>
          <w:sz w:val="22"/>
          <w:szCs w:val="22"/>
        </w:rPr>
        <w:t>CP mitigation as a way to</w:t>
      </w:r>
      <w:r w:rsidR="00580787" w:rsidRPr="0044342D">
        <w:rPr>
          <w:rFonts w:ascii="Times New Roman" w:hAnsi="Times New Roman" w:cs="Times New Roman"/>
          <w:sz w:val="22"/>
          <w:szCs w:val="22"/>
        </w:rPr>
        <w:t xml:space="preserve"> contextualize those results</w:t>
      </w:r>
      <w:r w:rsidR="00CA165F" w:rsidRPr="0044342D">
        <w:rPr>
          <w:rFonts w:ascii="Times New Roman" w:hAnsi="Times New Roman" w:cs="Times New Roman"/>
          <w:sz w:val="22"/>
          <w:szCs w:val="22"/>
        </w:rPr>
        <w:t>. For example,</w:t>
      </w:r>
      <w:r w:rsidR="0051267E" w:rsidRPr="0044342D">
        <w:rPr>
          <w:rFonts w:ascii="Times New Roman" w:hAnsi="Times New Roman" w:cs="Times New Roman"/>
          <w:sz w:val="22"/>
          <w:szCs w:val="22"/>
        </w:rPr>
        <w:t xml:space="preserve"> the fraction of a pollutant removed by a gi</w:t>
      </w:r>
      <w:r w:rsidR="00CA165F" w:rsidRPr="0044342D">
        <w:rPr>
          <w:rFonts w:ascii="Times New Roman" w:hAnsi="Times New Roman" w:cs="Times New Roman"/>
          <w:sz w:val="22"/>
          <w:szCs w:val="22"/>
        </w:rPr>
        <w:t>ven emissions control measure ha</w:t>
      </w:r>
      <w:r w:rsidR="0051267E" w:rsidRPr="0044342D">
        <w:rPr>
          <w:rFonts w:ascii="Times New Roman" w:hAnsi="Times New Roman" w:cs="Times New Roman"/>
          <w:sz w:val="22"/>
          <w:szCs w:val="22"/>
        </w:rPr>
        <w:t>s</w:t>
      </w:r>
      <w:r w:rsidR="00CA165F" w:rsidRPr="0044342D">
        <w:rPr>
          <w:rFonts w:ascii="Times New Roman" w:hAnsi="Times New Roman" w:cs="Times New Roman"/>
          <w:sz w:val="22"/>
          <w:szCs w:val="22"/>
        </w:rPr>
        <w:t xml:space="preserve"> been</w:t>
      </w:r>
      <w:r w:rsidR="0051267E" w:rsidRPr="0044342D">
        <w:rPr>
          <w:rFonts w:ascii="Times New Roman" w:hAnsi="Times New Roman" w:cs="Times New Roman"/>
          <w:sz w:val="22"/>
          <w:szCs w:val="22"/>
        </w:rPr>
        <w:t xml:space="preserve"> analyzed, with the impact assessed according to that fraction and the best estimate of </w:t>
      </w:r>
      <w:r w:rsidR="00CA165F" w:rsidRPr="0044342D">
        <w:rPr>
          <w:rFonts w:ascii="Times New Roman" w:hAnsi="Times New Roman" w:cs="Times New Roman"/>
          <w:sz w:val="22"/>
          <w:szCs w:val="22"/>
        </w:rPr>
        <w:t>total forcing by that pollutant</w:t>
      </w:r>
      <w:r w:rsidR="00FE0E53" w:rsidRPr="0044342D">
        <w:rPr>
          <w:rFonts w:ascii="Times New Roman" w:hAnsi="Times New Roman" w:cs="Times New Roman"/>
          <w:sz w:val="22"/>
          <w:szCs w:val="22"/>
        </w:rPr>
        <w:t xml:space="preserve">. Hence it is relevant to compare the </w:t>
      </w:r>
      <w:r w:rsidR="007C5B70" w:rsidRPr="0044342D">
        <w:rPr>
          <w:rFonts w:ascii="Times New Roman" w:hAnsi="Times New Roman" w:cs="Times New Roman"/>
          <w:sz w:val="22"/>
          <w:szCs w:val="22"/>
        </w:rPr>
        <w:t xml:space="preserve">AR5 values </w:t>
      </w:r>
      <w:r w:rsidR="00FE0E53" w:rsidRPr="0044342D">
        <w:rPr>
          <w:rFonts w:ascii="Times New Roman" w:hAnsi="Times New Roman" w:cs="Times New Roman"/>
          <w:sz w:val="22"/>
          <w:szCs w:val="22"/>
        </w:rPr>
        <w:t>with AR4 to characterize changes in understanding</w:t>
      </w:r>
      <w:r w:rsidR="00580787" w:rsidRPr="0044342D">
        <w:rPr>
          <w:rFonts w:ascii="Times New Roman" w:hAnsi="Times New Roman" w:cs="Times New Roman"/>
          <w:sz w:val="22"/>
          <w:szCs w:val="22"/>
        </w:rPr>
        <w:t xml:space="preserve"> of the total impact of particular pollutants</w:t>
      </w:r>
      <w:r w:rsidR="00DE77F0" w:rsidRPr="0044342D">
        <w:rPr>
          <w:rFonts w:ascii="Times New Roman" w:hAnsi="Times New Roman" w:cs="Times New Roman"/>
          <w:sz w:val="22"/>
          <w:szCs w:val="22"/>
        </w:rPr>
        <w:t xml:space="preserve"> on RF</w:t>
      </w:r>
      <w:r w:rsidR="00FE0E53" w:rsidRPr="0044342D">
        <w:rPr>
          <w:rFonts w:ascii="Times New Roman" w:hAnsi="Times New Roman" w:cs="Times New Roman"/>
          <w:sz w:val="22"/>
          <w:szCs w:val="22"/>
        </w:rPr>
        <w:t xml:space="preserve">, and to compare with </w:t>
      </w:r>
      <w:r w:rsidR="007C5B70" w:rsidRPr="0044342D">
        <w:rPr>
          <w:rFonts w:ascii="Times New Roman" w:hAnsi="Times New Roman" w:cs="Times New Roman"/>
          <w:sz w:val="22"/>
          <w:szCs w:val="22"/>
        </w:rPr>
        <w:t>the 2011 UNEP/WMO Integrated Assessment of Tropospheric Ozone and Black Carbon</w:t>
      </w:r>
      <w:r w:rsidR="00FE0E53" w:rsidRPr="0044342D">
        <w:rPr>
          <w:rFonts w:ascii="Times New Roman" w:hAnsi="Times New Roman" w:cs="Times New Roman"/>
          <w:sz w:val="22"/>
          <w:szCs w:val="22"/>
        </w:rPr>
        <w:t xml:space="preserve"> to gauge the effects of the new AR5 values on </w:t>
      </w:r>
      <w:r w:rsidR="001E3930" w:rsidRPr="0044342D">
        <w:rPr>
          <w:rFonts w:ascii="Times New Roman" w:hAnsi="Times New Roman" w:cs="Times New Roman"/>
          <w:sz w:val="22"/>
          <w:szCs w:val="22"/>
        </w:rPr>
        <w:t xml:space="preserve">prior </w:t>
      </w:r>
      <w:r w:rsidR="00FE0E53" w:rsidRPr="0044342D">
        <w:rPr>
          <w:rFonts w:ascii="Times New Roman" w:hAnsi="Times New Roman" w:cs="Times New Roman"/>
          <w:sz w:val="22"/>
          <w:szCs w:val="22"/>
        </w:rPr>
        <w:t xml:space="preserve">SLCP mitigation estimates. </w:t>
      </w:r>
      <w:r w:rsidR="001E3930" w:rsidRPr="0044342D">
        <w:rPr>
          <w:rFonts w:ascii="Times New Roman" w:hAnsi="Times New Roman" w:cs="Times New Roman"/>
          <w:sz w:val="22"/>
          <w:szCs w:val="22"/>
        </w:rPr>
        <w:t xml:space="preserve">The new AR5 values </w:t>
      </w:r>
      <w:r w:rsidR="00FE0E53" w:rsidRPr="0044342D">
        <w:rPr>
          <w:rFonts w:ascii="Times New Roman" w:hAnsi="Times New Roman" w:cs="Times New Roman"/>
          <w:sz w:val="22"/>
          <w:szCs w:val="22"/>
        </w:rPr>
        <w:t xml:space="preserve">are generally fairly similar to those in the </w:t>
      </w:r>
      <w:r w:rsidR="001E3930" w:rsidRPr="0044342D">
        <w:rPr>
          <w:rFonts w:ascii="Times New Roman" w:hAnsi="Times New Roman" w:cs="Times New Roman"/>
          <w:sz w:val="22"/>
          <w:szCs w:val="22"/>
        </w:rPr>
        <w:t>other Assessments</w:t>
      </w:r>
      <w:r w:rsidR="007C5B70" w:rsidRPr="0044342D">
        <w:rPr>
          <w:rFonts w:ascii="Times New Roman" w:hAnsi="Times New Roman" w:cs="Times New Roman"/>
          <w:sz w:val="22"/>
          <w:szCs w:val="22"/>
        </w:rPr>
        <w:t xml:space="preserve">, although values for </w:t>
      </w:r>
      <w:r w:rsidR="00580787" w:rsidRPr="0044342D">
        <w:rPr>
          <w:rFonts w:ascii="Times New Roman" w:hAnsi="Times New Roman" w:cs="Times New Roman"/>
          <w:sz w:val="22"/>
          <w:szCs w:val="22"/>
        </w:rPr>
        <w:t xml:space="preserve">both warming and cooling </w:t>
      </w:r>
      <w:r w:rsidR="007C5B70" w:rsidRPr="0044342D">
        <w:rPr>
          <w:rFonts w:ascii="Times New Roman" w:hAnsi="Times New Roman" w:cs="Times New Roman"/>
          <w:sz w:val="22"/>
          <w:szCs w:val="22"/>
        </w:rPr>
        <w:t>carbonaceous aerosols are greater</w:t>
      </w:r>
      <w:r w:rsidR="00580787" w:rsidRPr="0044342D">
        <w:rPr>
          <w:rFonts w:ascii="Times New Roman" w:hAnsi="Times New Roman" w:cs="Times New Roman"/>
          <w:sz w:val="22"/>
          <w:szCs w:val="22"/>
        </w:rPr>
        <w:t>, especially for fossil+biofuel emissions</w:t>
      </w:r>
      <w:r w:rsidR="00227192" w:rsidRPr="0044342D">
        <w:rPr>
          <w:rFonts w:ascii="Times New Roman" w:hAnsi="Times New Roman" w:cs="Times New Roman"/>
          <w:sz w:val="22"/>
          <w:szCs w:val="22"/>
        </w:rPr>
        <w:t>, due to improved understanding of aerosol properties</w:t>
      </w:r>
      <w:r w:rsidR="00A51B85" w:rsidRPr="0044342D">
        <w:rPr>
          <w:rFonts w:ascii="Times New Roman" w:hAnsi="Times New Roman" w:cs="Times New Roman"/>
          <w:sz w:val="22"/>
          <w:szCs w:val="22"/>
        </w:rPr>
        <w:t xml:space="preserve"> and model biases</w:t>
      </w:r>
      <w:r w:rsidR="00992A4F" w:rsidRPr="0044342D">
        <w:rPr>
          <w:rFonts w:ascii="Times New Roman" w:hAnsi="Times New Roman" w:cs="Times New Roman"/>
          <w:sz w:val="22"/>
          <w:szCs w:val="22"/>
        </w:rPr>
        <w:t xml:space="preserve"> (consistent with the conclusions in </w:t>
      </w:r>
      <w:r w:rsidR="007C1C7D" w:rsidRPr="0044342D">
        <w:rPr>
          <w:rFonts w:ascii="Times New Roman" w:hAnsi="Times New Roman" w:cs="Times New Roman"/>
          <w:sz w:val="22"/>
          <w:szCs w:val="22"/>
        </w:rPr>
        <w:t>studies such as</w:t>
      </w:r>
      <w:r w:rsidR="00992A4F" w:rsidRPr="0044342D">
        <w:rPr>
          <w:rFonts w:ascii="Times New Roman" w:hAnsi="Times New Roman" w:cs="Times New Roman"/>
          <w:sz w:val="22"/>
          <w:szCs w:val="22"/>
        </w:rPr>
        <w:t xml:space="preserve"> Bond et al., JGR, 2013, which is one of the many studies assessed in AR5)</w:t>
      </w:r>
      <w:r w:rsidR="007C5B70" w:rsidRPr="0044342D">
        <w:rPr>
          <w:rFonts w:ascii="Times New Roman" w:hAnsi="Times New Roman" w:cs="Times New Roman"/>
          <w:sz w:val="22"/>
          <w:szCs w:val="22"/>
        </w:rPr>
        <w:t>.</w:t>
      </w:r>
      <w:r w:rsidR="00963C69" w:rsidRPr="0044342D">
        <w:rPr>
          <w:rFonts w:ascii="Times New Roman" w:hAnsi="Times New Roman" w:cs="Times New Roman"/>
          <w:sz w:val="22"/>
          <w:szCs w:val="22"/>
        </w:rPr>
        <w:t xml:space="preserve"> In particular, the net total impact of black and organic carbon</w:t>
      </w:r>
      <w:r w:rsidR="00580787" w:rsidRPr="0044342D">
        <w:rPr>
          <w:rFonts w:ascii="Times New Roman" w:hAnsi="Times New Roman" w:cs="Times New Roman"/>
          <w:sz w:val="22"/>
          <w:szCs w:val="22"/>
        </w:rPr>
        <w:t xml:space="preserve"> (direct, non-microphysical </w:t>
      </w:r>
      <w:r w:rsidR="006E3C0D" w:rsidRPr="0044342D">
        <w:rPr>
          <w:rFonts w:ascii="Times New Roman" w:hAnsi="Times New Roman" w:cs="Times New Roman"/>
          <w:sz w:val="22"/>
          <w:szCs w:val="22"/>
        </w:rPr>
        <w:t xml:space="preserve">or ‘semi-direct’ </w:t>
      </w:r>
      <w:r w:rsidR="00580787" w:rsidRPr="0044342D">
        <w:rPr>
          <w:rFonts w:ascii="Times New Roman" w:hAnsi="Times New Roman" w:cs="Times New Roman"/>
          <w:sz w:val="22"/>
          <w:szCs w:val="22"/>
        </w:rPr>
        <w:t>cloud response and BC albedo)</w:t>
      </w:r>
      <w:r w:rsidR="00963C69" w:rsidRPr="0044342D">
        <w:rPr>
          <w:rFonts w:ascii="Times New Roman" w:hAnsi="Times New Roman" w:cs="Times New Roman"/>
          <w:sz w:val="22"/>
          <w:szCs w:val="22"/>
        </w:rPr>
        <w:t xml:space="preserve"> is almost the same in AR5 (0.37 W m</w:t>
      </w:r>
      <w:r w:rsidR="00580787" w:rsidRPr="0044342D">
        <w:rPr>
          <w:rFonts w:ascii="Times New Roman" w:hAnsi="Times New Roman" w:cs="Times New Roman"/>
          <w:sz w:val="22"/>
          <w:szCs w:val="22"/>
          <w:vertAlign w:val="superscript"/>
        </w:rPr>
        <w:t>-2</w:t>
      </w:r>
      <w:r w:rsidR="00963C69" w:rsidRPr="0044342D">
        <w:rPr>
          <w:rFonts w:ascii="Times New Roman" w:hAnsi="Times New Roman" w:cs="Times New Roman"/>
          <w:sz w:val="22"/>
          <w:szCs w:val="22"/>
        </w:rPr>
        <w:t>) as in UNEP/WMO (0.40 W</w:t>
      </w:r>
      <w:r w:rsidR="00580787" w:rsidRPr="0044342D">
        <w:rPr>
          <w:rFonts w:ascii="Times New Roman" w:hAnsi="Times New Roman" w:cs="Times New Roman"/>
          <w:sz w:val="22"/>
          <w:szCs w:val="22"/>
        </w:rPr>
        <w:t xml:space="preserve"> m</w:t>
      </w:r>
      <w:r w:rsidR="00580787" w:rsidRPr="0044342D">
        <w:rPr>
          <w:rFonts w:ascii="Times New Roman" w:hAnsi="Times New Roman" w:cs="Times New Roman"/>
          <w:sz w:val="22"/>
          <w:szCs w:val="22"/>
          <w:vertAlign w:val="superscript"/>
        </w:rPr>
        <w:t>-2</w:t>
      </w:r>
      <w:r w:rsidR="00963C69" w:rsidRPr="0044342D">
        <w:rPr>
          <w:rFonts w:ascii="Times New Roman" w:hAnsi="Times New Roman" w:cs="Times New Roman"/>
          <w:sz w:val="22"/>
          <w:szCs w:val="22"/>
        </w:rPr>
        <w:t>), as is the effect of methane</w:t>
      </w:r>
      <w:r w:rsidR="00BC621D" w:rsidRPr="0044342D">
        <w:rPr>
          <w:rFonts w:ascii="Times New Roman" w:hAnsi="Times New Roman" w:cs="Times New Roman"/>
          <w:sz w:val="22"/>
          <w:szCs w:val="22"/>
        </w:rPr>
        <w:t xml:space="preserve"> (Table 1)</w:t>
      </w:r>
      <w:r w:rsidR="00963C69" w:rsidRPr="0044342D">
        <w:rPr>
          <w:rFonts w:ascii="Times New Roman" w:hAnsi="Times New Roman" w:cs="Times New Roman"/>
          <w:sz w:val="22"/>
          <w:szCs w:val="22"/>
        </w:rPr>
        <w:t>. Note that uncertainties in carbonaceous aerosol forcing remain quite large, especially accounting for their full impact on clouds</w:t>
      </w:r>
      <w:r w:rsidR="00CF20E1" w:rsidRPr="0044342D">
        <w:rPr>
          <w:rFonts w:ascii="Times New Roman" w:hAnsi="Times New Roman" w:cs="Times New Roman"/>
          <w:sz w:val="22"/>
          <w:szCs w:val="22"/>
        </w:rPr>
        <w:t xml:space="preserve"> (</w:t>
      </w:r>
      <w:r w:rsidR="006E3C0D" w:rsidRPr="0044342D">
        <w:rPr>
          <w:rFonts w:ascii="Times New Roman" w:hAnsi="Times New Roman" w:cs="Times New Roman"/>
          <w:sz w:val="22"/>
          <w:szCs w:val="22"/>
        </w:rPr>
        <w:t>including microphysical or ‘indirect’ effects</w:t>
      </w:r>
      <w:r w:rsidR="00CF20E1" w:rsidRPr="0044342D">
        <w:rPr>
          <w:rFonts w:ascii="Times New Roman" w:hAnsi="Times New Roman" w:cs="Times New Roman"/>
          <w:sz w:val="22"/>
          <w:szCs w:val="22"/>
        </w:rPr>
        <w:t xml:space="preserve">, </w:t>
      </w:r>
      <w:r w:rsidR="006E3C0D" w:rsidRPr="0044342D">
        <w:rPr>
          <w:rFonts w:ascii="Times New Roman" w:hAnsi="Times New Roman" w:cs="Times New Roman"/>
          <w:sz w:val="22"/>
          <w:szCs w:val="22"/>
        </w:rPr>
        <w:t>which are</w:t>
      </w:r>
      <w:r w:rsidR="00CF20E1" w:rsidRPr="0044342D">
        <w:rPr>
          <w:rFonts w:ascii="Times New Roman" w:hAnsi="Times New Roman" w:cs="Times New Roman"/>
          <w:sz w:val="22"/>
          <w:szCs w:val="22"/>
        </w:rPr>
        <w:t xml:space="preserve"> not included in the AR5 values)</w:t>
      </w:r>
      <w:r w:rsidR="00963C69" w:rsidRPr="0044342D">
        <w:rPr>
          <w:rFonts w:ascii="Times New Roman" w:hAnsi="Times New Roman" w:cs="Times New Roman"/>
          <w:sz w:val="22"/>
          <w:szCs w:val="22"/>
        </w:rPr>
        <w:t>.</w:t>
      </w:r>
      <w:r w:rsidR="001C4974" w:rsidRPr="0044342D">
        <w:rPr>
          <w:rFonts w:ascii="Times New Roman" w:hAnsi="Times New Roman" w:cs="Times New Roman"/>
          <w:sz w:val="22"/>
          <w:szCs w:val="22"/>
        </w:rPr>
        <w:t xml:space="preserve"> This can lead to even larger values </w:t>
      </w:r>
      <w:r w:rsidR="004D17F2" w:rsidRPr="0044342D">
        <w:rPr>
          <w:rFonts w:ascii="Times New Roman" w:hAnsi="Times New Roman" w:cs="Times New Roman"/>
          <w:sz w:val="22"/>
          <w:szCs w:val="22"/>
        </w:rPr>
        <w:t xml:space="preserve">when those effects are included </w:t>
      </w:r>
      <w:r w:rsidR="001C4974" w:rsidRPr="0044342D">
        <w:rPr>
          <w:rFonts w:ascii="Times New Roman" w:hAnsi="Times New Roman" w:cs="Times New Roman"/>
          <w:sz w:val="22"/>
          <w:szCs w:val="22"/>
        </w:rPr>
        <w:t>(e.g. Bond et al., JGR, 2013).</w:t>
      </w:r>
      <w:r w:rsidR="00442090" w:rsidRPr="0044342D">
        <w:rPr>
          <w:rFonts w:ascii="Times New Roman" w:hAnsi="Times New Roman" w:cs="Times New Roman"/>
          <w:sz w:val="22"/>
          <w:szCs w:val="22"/>
        </w:rPr>
        <w:t xml:space="preserve"> While their contribution remains quite small, the RF of all HFCs nearly doubled between AR4 and AR5, from 0.01 to 0.02 W m</w:t>
      </w:r>
      <w:r w:rsidR="00442090" w:rsidRPr="0044342D">
        <w:rPr>
          <w:rFonts w:ascii="Times New Roman" w:hAnsi="Times New Roman" w:cs="Times New Roman"/>
          <w:sz w:val="22"/>
          <w:szCs w:val="22"/>
          <w:vertAlign w:val="superscript"/>
        </w:rPr>
        <w:t>-2</w:t>
      </w:r>
      <w:r w:rsidR="00164BB0" w:rsidRPr="0044342D">
        <w:rPr>
          <w:rFonts w:ascii="Times New Roman" w:hAnsi="Times New Roman" w:cs="Times New Roman"/>
          <w:sz w:val="22"/>
          <w:szCs w:val="22"/>
        </w:rPr>
        <w:t>, due to increases in their abundance.</w:t>
      </w:r>
    </w:p>
    <w:p w:rsidR="00E62F52" w:rsidRPr="0044342D" w:rsidRDefault="006532AC"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The portion of the AR5 that is probably the most relevant to SLCP mitigation policies is the evaluation of metrics (Section 8.7). The AR5 highlights that “</w:t>
      </w:r>
      <w:r w:rsidRPr="0044342D">
        <w:rPr>
          <w:rFonts w:ascii="Times New Roman" w:hAnsi="Times New Roman" w:cs="Times New Roman"/>
          <w:color w:val="000000"/>
          <w:sz w:val="22"/>
          <w:szCs w:val="22"/>
        </w:rPr>
        <w:t>The choice of metric and time horizon depends on the particular application and which aspects of climate change are considered relevant in a given context.</w:t>
      </w:r>
      <w:r w:rsidRPr="0044342D">
        <w:rPr>
          <w:rFonts w:ascii="Times New Roman" w:hAnsi="Times New Roman" w:cs="Times New Roman"/>
          <w:sz w:val="22"/>
          <w:szCs w:val="22"/>
        </w:rPr>
        <w:t xml:space="preserve">” The AR5 therefore does not </w:t>
      </w:r>
      <w:r w:rsidRPr="0044342D">
        <w:rPr>
          <w:rFonts w:ascii="Times New Roman" w:hAnsi="Times New Roman" w:cs="Times New Roman"/>
          <w:color w:val="000000"/>
          <w:sz w:val="22"/>
          <w:szCs w:val="22"/>
        </w:rPr>
        <w:t xml:space="preserve">favor a particular time horizon or metric, </w:t>
      </w:r>
      <w:r w:rsidRPr="0044342D">
        <w:rPr>
          <w:rFonts w:ascii="Times New Roman" w:hAnsi="Times New Roman" w:cs="Times New Roman"/>
          <w:sz w:val="22"/>
          <w:szCs w:val="22"/>
        </w:rPr>
        <w:t xml:space="preserve">reflecting the fact that pollutants have multiple impacts and hence any single metric or time cannot be comprehensive. </w:t>
      </w:r>
      <w:r w:rsidRPr="0044342D">
        <w:rPr>
          <w:rFonts w:ascii="Times New Roman" w:hAnsi="Times New Roman" w:cs="Times New Roman"/>
          <w:color w:val="000000"/>
          <w:sz w:val="22"/>
          <w:szCs w:val="22"/>
        </w:rPr>
        <w:t xml:space="preserve">It </w:t>
      </w:r>
      <w:r w:rsidRPr="0044342D">
        <w:rPr>
          <w:rFonts w:ascii="Times New Roman" w:hAnsi="Times New Roman" w:cs="Times New Roman"/>
          <w:sz w:val="22"/>
          <w:szCs w:val="22"/>
        </w:rPr>
        <w:t>points out that “</w:t>
      </w:r>
      <w:r w:rsidRPr="0044342D">
        <w:rPr>
          <w:rFonts w:ascii="Times New Roman" w:hAnsi="Times New Roman" w:cs="Times New Roman"/>
          <w:color w:val="000000"/>
          <w:sz w:val="22"/>
          <w:szCs w:val="22"/>
        </w:rPr>
        <w:t>the name ‘Global Warming Potential’ may be somewhat misleading” as “the GWP does not lead to equivalence [with CO</w:t>
      </w:r>
      <w:r w:rsidRPr="0044342D">
        <w:rPr>
          <w:rFonts w:ascii="Times New Roman" w:hAnsi="Times New Roman" w:cs="Times New Roman"/>
          <w:color w:val="000000"/>
          <w:sz w:val="22"/>
          <w:szCs w:val="22"/>
          <w:vertAlign w:val="subscript"/>
        </w:rPr>
        <w:t>2</w:t>
      </w:r>
      <w:r w:rsidR="0044342D" w:rsidRPr="0044342D">
        <w:rPr>
          <w:rFonts w:ascii="Times New Roman" w:hAnsi="Times New Roman" w:cs="Times New Roman"/>
          <w:color w:val="000000"/>
          <w:sz w:val="22"/>
          <w:szCs w:val="22"/>
        </w:rPr>
        <w:t xml:space="preserve">] </w:t>
      </w:r>
      <w:r w:rsidRPr="0044342D">
        <w:rPr>
          <w:rFonts w:ascii="Times New Roman" w:hAnsi="Times New Roman" w:cs="Times New Roman"/>
          <w:color w:val="000000"/>
          <w:sz w:val="22"/>
          <w:szCs w:val="22"/>
        </w:rPr>
        <w:t>for temperature or other climate variables”.</w:t>
      </w:r>
      <w:r w:rsidR="0044342D" w:rsidRPr="0044342D">
        <w:rPr>
          <w:rFonts w:ascii="Times New Roman" w:hAnsi="Times New Roman" w:cs="Times New Roman"/>
          <w:color w:val="000000"/>
          <w:sz w:val="22"/>
          <w:szCs w:val="22"/>
        </w:rPr>
        <w:t xml:space="preserve">                                    </w:t>
      </w:r>
      <w:r w:rsidRPr="0044342D">
        <w:rPr>
          <w:rFonts w:ascii="Times New Roman" w:hAnsi="Times New Roman" w:cs="Times New Roman"/>
          <w:color w:val="000000"/>
          <w:sz w:val="22"/>
          <w:szCs w:val="22"/>
        </w:rPr>
        <w:t xml:space="preserve"> </w:t>
      </w:r>
    </w:p>
    <w:p w:rsidR="0044342D" w:rsidRPr="0044342D" w:rsidRDefault="0044342D" w:rsidP="0044342D">
      <w:pPr>
        <w:spacing w:line="276" w:lineRule="auto"/>
        <w:rPr>
          <w:rFonts w:ascii="Times New Roman" w:hAnsi="Times New Roman" w:cs="Times New Roman"/>
          <w:b/>
          <w:sz w:val="22"/>
          <w:szCs w:val="22"/>
        </w:rPr>
      </w:pPr>
      <w:r>
        <w:rPr>
          <w:rFonts w:ascii="Times New Roman" w:hAnsi="Times New Roman" w:cs="Times New Roman"/>
          <w:b/>
          <w:sz w:val="22"/>
          <w:szCs w:val="22"/>
        </w:rPr>
        <w:br w:type="page"/>
      </w:r>
    </w:p>
    <w:p w:rsidR="00230F3E" w:rsidRDefault="00230F3E" w:rsidP="0044342D">
      <w:pPr>
        <w:spacing w:line="276" w:lineRule="auto"/>
        <w:rPr>
          <w:rFonts w:ascii="Times New Roman" w:hAnsi="Times New Roman" w:cs="Times New Roman"/>
          <w:b/>
          <w:sz w:val="20"/>
          <w:szCs w:val="20"/>
        </w:rPr>
      </w:pPr>
    </w:p>
    <w:p w:rsidR="00FD25EF" w:rsidRPr="0044342D" w:rsidRDefault="00FD25EF" w:rsidP="0044342D">
      <w:pPr>
        <w:spacing w:line="276" w:lineRule="auto"/>
        <w:rPr>
          <w:rFonts w:ascii="Times New Roman" w:hAnsi="Times New Roman" w:cs="Times New Roman"/>
          <w:sz w:val="20"/>
          <w:szCs w:val="20"/>
        </w:rPr>
      </w:pPr>
      <w:r w:rsidRPr="0044342D">
        <w:rPr>
          <w:rFonts w:ascii="Times New Roman" w:hAnsi="Times New Roman" w:cs="Times New Roman"/>
          <w:b/>
          <w:sz w:val="20"/>
          <w:szCs w:val="20"/>
        </w:rPr>
        <w:t xml:space="preserve">Table </w:t>
      </w:r>
      <w:r w:rsidR="00EF651F" w:rsidRPr="0044342D">
        <w:rPr>
          <w:rFonts w:ascii="Times New Roman" w:hAnsi="Times New Roman" w:cs="Times New Roman"/>
          <w:b/>
          <w:sz w:val="20"/>
          <w:szCs w:val="20"/>
        </w:rPr>
        <w:t>1</w:t>
      </w:r>
      <w:r w:rsidR="00EF651F" w:rsidRPr="0044342D">
        <w:rPr>
          <w:rFonts w:ascii="Times New Roman" w:hAnsi="Times New Roman" w:cs="Times New Roman"/>
          <w:sz w:val="20"/>
          <w:szCs w:val="20"/>
        </w:rPr>
        <w:t>.</w:t>
      </w:r>
      <w:r w:rsidRPr="0044342D">
        <w:rPr>
          <w:rFonts w:ascii="Times New Roman" w:hAnsi="Times New Roman" w:cs="Times New Roman"/>
          <w:sz w:val="20"/>
          <w:szCs w:val="20"/>
        </w:rPr>
        <w:t xml:space="preserve"> </w:t>
      </w:r>
      <w:r w:rsidR="0086318B" w:rsidRPr="0044342D">
        <w:rPr>
          <w:rFonts w:ascii="Times New Roman" w:hAnsi="Times New Roman" w:cs="Times New Roman"/>
          <w:sz w:val="20"/>
          <w:szCs w:val="20"/>
        </w:rPr>
        <w:t>Industrial Era RF attributed to emissions (W m</w:t>
      </w:r>
      <w:r w:rsidR="0086318B" w:rsidRPr="0044342D">
        <w:rPr>
          <w:rFonts w:ascii="Times New Roman" w:hAnsi="Times New Roman" w:cs="Times New Roman"/>
          <w:sz w:val="20"/>
          <w:szCs w:val="20"/>
          <w:vertAlign w:val="superscript"/>
        </w:rPr>
        <w:t>-2</w:t>
      </w:r>
      <w:r w:rsidR="00EF651F" w:rsidRPr="0044342D">
        <w:rPr>
          <w:rFonts w:ascii="Times New Roman" w:hAnsi="Times New Roman" w:cs="Times New Roman"/>
          <w:sz w:val="20"/>
          <w:szCs w:val="20"/>
        </w:rPr>
        <w:t>) in recent Assessments</w:t>
      </w:r>
    </w:p>
    <w:tbl>
      <w:tblPr>
        <w:tblStyle w:val="TableGrid"/>
        <w:tblW w:w="0" w:type="auto"/>
        <w:jc w:val="center"/>
        <w:tblLook w:val="00A0" w:firstRow="1" w:lastRow="0" w:firstColumn="1" w:lastColumn="0" w:noHBand="0" w:noVBand="0"/>
      </w:tblPr>
      <w:tblGrid>
        <w:gridCol w:w="2448"/>
        <w:gridCol w:w="2160"/>
        <w:gridCol w:w="2160"/>
        <w:gridCol w:w="2088"/>
      </w:tblGrid>
      <w:tr w:rsidR="009A1B2D" w:rsidRPr="0044342D" w:rsidTr="0044342D">
        <w:trPr>
          <w:jc w:val="center"/>
        </w:trPr>
        <w:tc>
          <w:tcPr>
            <w:tcW w:w="2448" w:type="dxa"/>
          </w:tcPr>
          <w:p w:rsidR="009A1B2D" w:rsidRPr="0044342D" w:rsidRDefault="009A1B2D" w:rsidP="0044342D">
            <w:pPr>
              <w:spacing w:line="276" w:lineRule="auto"/>
              <w:rPr>
                <w:rFonts w:ascii="Times New Roman" w:hAnsi="Times New Roman" w:cs="Times New Roman"/>
                <w:sz w:val="22"/>
                <w:szCs w:val="22"/>
              </w:rPr>
            </w:pPr>
          </w:p>
        </w:tc>
        <w:tc>
          <w:tcPr>
            <w:tcW w:w="2160"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AR4</w:t>
            </w:r>
          </w:p>
        </w:tc>
        <w:tc>
          <w:tcPr>
            <w:tcW w:w="2160"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AR5</w:t>
            </w:r>
          </w:p>
        </w:tc>
        <w:tc>
          <w:tcPr>
            <w:tcW w:w="2088"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UNEP/WMO 2011</w:t>
            </w:r>
          </w:p>
        </w:tc>
      </w:tr>
      <w:tr w:rsidR="009A1B2D" w:rsidRPr="0044342D" w:rsidTr="0044342D">
        <w:trPr>
          <w:jc w:val="center"/>
        </w:trPr>
        <w:tc>
          <w:tcPr>
            <w:tcW w:w="2448"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BC fossil &amp; biofuel</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+0.20 (+0.05 to +0.35)</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+0.40 (+0.05 to +0.80)</w:t>
            </w:r>
          </w:p>
        </w:tc>
        <w:tc>
          <w:tcPr>
            <w:tcW w:w="2088" w:type="dxa"/>
          </w:tcPr>
          <w:p w:rsidR="009A1B2D" w:rsidRPr="0044342D" w:rsidRDefault="009A1B2D" w:rsidP="0044342D">
            <w:pPr>
              <w:spacing w:line="276" w:lineRule="auto"/>
              <w:rPr>
                <w:rFonts w:ascii="Times New Roman" w:hAnsi="Times New Roman" w:cs="Times New Roman"/>
                <w:sz w:val="22"/>
                <w:szCs w:val="22"/>
              </w:rPr>
            </w:pPr>
          </w:p>
        </w:tc>
      </w:tr>
      <w:tr w:rsidR="009A1B2D" w:rsidRPr="0044342D" w:rsidTr="0044342D">
        <w:trPr>
          <w:jc w:val="center"/>
        </w:trPr>
        <w:tc>
          <w:tcPr>
            <w:tcW w:w="2448"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OC fossil &amp; biofuel</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–0.05 (0.00 to –0.10)</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–0.09 (–0.16 to –0.03)</w:t>
            </w:r>
          </w:p>
        </w:tc>
        <w:tc>
          <w:tcPr>
            <w:tcW w:w="2088" w:type="dxa"/>
          </w:tcPr>
          <w:p w:rsidR="009A1B2D" w:rsidRPr="0044342D" w:rsidRDefault="009A1B2D" w:rsidP="0044342D">
            <w:pPr>
              <w:spacing w:line="276" w:lineRule="auto"/>
              <w:rPr>
                <w:rFonts w:ascii="Times New Roman" w:hAnsi="Times New Roman" w:cs="Times New Roman"/>
                <w:sz w:val="22"/>
                <w:szCs w:val="22"/>
              </w:rPr>
            </w:pPr>
          </w:p>
        </w:tc>
      </w:tr>
      <w:tr w:rsidR="009A1B2D" w:rsidRPr="0044342D" w:rsidTr="0044342D">
        <w:trPr>
          <w:jc w:val="center"/>
        </w:trPr>
        <w:tc>
          <w:tcPr>
            <w:tcW w:w="2448" w:type="dxa"/>
          </w:tcPr>
          <w:p w:rsidR="009A1B2D" w:rsidRPr="0044342D" w:rsidRDefault="009A1B2D"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Biomass burning</w:t>
            </w:r>
            <w:r w:rsidR="00F5263A" w:rsidRPr="0044342D">
              <w:rPr>
                <w:rFonts w:ascii="Times New Roman" w:hAnsi="Times New Roman" w:cs="Times New Roman"/>
                <w:sz w:val="22"/>
                <w:szCs w:val="22"/>
              </w:rPr>
              <w:t xml:space="preserve"> BC &amp; OC</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+0.03(–0.09 to +0.15)</w:t>
            </w:r>
          </w:p>
        </w:tc>
        <w:tc>
          <w:tcPr>
            <w:tcW w:w="2160" w:type="dxa"/>
          </w:tcPr>
          <w:p w:rsidR="009A1B2D" w:rsidRPr="0044342D" w:rsidRDefault="009A1B2D" w:rsidP="0044342D">
            <w:pPr>
              <w:pStyle w:val="Pa19"/>
              <w:spacing w:line="276" w:lineRule="auto"/>
              <w:rPr>
                <w:rFonts w:ascii="Times New Roman" w:hAnsi="Times New Roman"/>
                <w:color w:val="000000"/>
                <w:sz w:val="22"/>
                <w:szCs w:val="22"/>
              </w:rPr>
            </w:pPr>
            <w:r w:rsidRPr="0044342D">
              <w:rPr>
                <w:rFonts w:ascii="Times New Roman" w:hAnsi="Times New Roman"/>
                <w:color w:val="000000"/>
                <w:sz w:val="22"/>
                <w:szCs w:val="22"/>
              </w:rPr>
              <w:t>–0.0 (–0.20 to +0.20)</w:t>
            </w:r>
          </w:p>
        </w:tc>
        <w:tc>
          <w:tcPr>
            <w:tcW w:w="2088" w:type="dxa"/>
          </w:tcPr>
          <w:p w:rsidR="009A1B2D" w:rsidRPr="0044342D" w:rsidRDefault="009A1B2D" w:rsidP="0044342D">
            <w:pPr>
              <w:spacing w:line="276" w:lineRule="auto"/>
              <w:rPr>
                <w:rFonts w:ascii="Times New Roman" w:hAnsi="Times New Roman" w:cs="Times New Roman"/>
                <w:sz w:val="22"/>
                <w:szCs w:val="22"/>
              </w:rPr>
            </w:pPr>
          </w:p>
        </w:tc>
      </w:tr>
      <w:tr w:rsidR="00496104" w:rsidRPr="0044342D" w:rsidTr="0044342D">
        <w:trPr>
          <w:jc w:val="center"/>
        </w:trPr>
        <w:tc>
          <w:tcPr>
            <w:tcW w:w="244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 xml:space="preserve">BC </w:t>
            </w:r>
            <w:r w:rsidR="00577F03" w:rsidRPr="0044342D">
              <w:rPr>
                <w:rFonts w:ascii="Times New Roman" w:hAnsi="Times New Roman" w:cs="Times New Roman"/>
                <w:sz w:val="22"/>
                <w:szCs w:val="22"/>
              </w:rPr>
              <w:t>all</w:t>
            </w:r>
          </w:p>
        </w:tc>
        <w:tc>
          <w:tcPr>
            <w:tcW w:w="2160" w:type="dxa"/>
          </w:tcPr>
          <w:p w:rsidR="00496104" w:rsidRPr="0044342D" w:rsidRDefault="00C37EA6"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0.3</w:t>
            </w:r>
            <w:r w:rsidR="00670A96" w:rsidRPr="0044342D">
              <w:rPr>
                <w:rFonts w:ascii="Times New Roman" w:hAnsi="Times New Roman" w:cs="Times New Roman"/>
                <w:sz w:val="22"/>
                <w:szCs w:val="22"/>
              </w:rPr>
              <w:t>4</w:t>
            </w:r>
            <w:r w:rsidRPr="0044342D">
              <w:rPr>
                <w:rFonts w:ascii="Times New Roman" w:hAnsi="Times New Roman" w:cs="Times New Roman"/>
                <w:sz w:val="22"/>
                <w:szCs w:val="22"/>
              </w:rPr>
              <w:t xml:space="preserve"> (0.09 to 0.59</w:t>
            </w:r>
            <w:r w:rsidR="002D50F4" w:rsidRPr="0044342D">
              <w:rPr>
                <w:rFonts w:ascii="Times New Roman" w:hAnsi="Times New Roman" w:cs="Times New Roman"/>
                <w:sz w:val="22"/>
                <w:szCs w:val="22"/>
              </w:rPr>
              <w:t>)</w:t>
            </w:r>
          </w:p>
        </w:tc>
        <w:tc>
          <w:tcPr>
            <w:tcW w:w="2160" w:type="dxa"/>
          </w:tcPr>
          <w:p w:rsidR="00496104" w:rsidRPr="0044342D" w:rsidRDefault="00CD47CE"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0.5</w:t>
            </w:r>
            <w:r w:rsidR="00175F14" w:rsidRPr="0044342D">
              <w:rPr>
                <w:rFonts w:ascii="Times New Roman" w:hAnsi="Times New Roman" w:cs="Times New Roman"/>
                <w:sz w:val="22"/>
                <w:szCs w:val="22"/>
              </w:rPr>
              <w:t>4 (</w:t>
            </w:r>
            <w:r w:rsidR="002077BB" w:rsidRPr="0044342D">
              <w:rPr>
                <w:rFonts w:ascii="Times New Roman" w:hAnsi="Times New Roman" w:cs="Times New Roman"/>
                <w:sz w:val="22"/>
                <w:szCs w:val="22"/>
              </w:rPr>
              <w:t>0</w:t>
            </w:r>
            <w:r w:rsidRPr="0044342D">
              <w:rPr>
                <w:rFonts w:ascii="Times New Roman" w:hAnsi="Times New Roman" w:cs="Times New Roman"/>
                <w:sz w:val="22"/>
                <w:szCs w:val="22"/>
              </w:rPr>
              <w:t>.10</w:t>
            </w:r>
            <w:r w:rsidR="00175F14" w:rsidRPr="0044342D">
              <w:rPr>
                <w:rFonts w:ascii="Times New Roman" w:hAnsi="Times New Roman" w:cs="Times New Roman"/>
                <w:sz w:val="22"/>
                <w:szCs w:val="22"/>
              </w:rPr>
              <w:t xml:space="preserve"> to </w:t>
            </w:r>
            <w:r w:rsidRPr="0044342D">
              <w:rPr>
                <w:rFonts w:ascii="Times New Roman" w:hAnsi="Times New Roman" w:cs="Times New Roman"/>
                <w:sz w:val="22"/>
                <w:szCs w:val="22"/>
              </w:rPr>
              <w:t>1.03</w:t>
            </w:r>
            <w:r w:rsidR="00085274" w:rsidRPr="0044342D">
              <w:rPr>
                <w:rFonts w:ascii="Times New Roman" w:hAnsi="Times New Roman" w:cs="Times New Roman"/>
                <w:sz w:val="22"/>
                <w:szCs w:val="22"/>
              </w:rPr>
              <w:t>)</w:t>
            </w:r>
          </w:p>
        </w:tc>
        <w:tc>
          <w:tcPr>
            <w:tcW w:w="2088" w:type="dxa"/>
          </w:tcPr>
          <w:p w:rsidR="00496104" w:rsidRPr="0044342D" w:rsidRDefault="002077BB" w:rsidP="0044342D">
            <w:pPr>
              <w:spacing w:line="276" w:lineRule="auto"/>
              <w:rPr>
                <w:rFonts w:ascii="Times New Roman" w:eastAsia="Cambria" w:hAnsi="Times New Roman" w:cs="Times New Roman"/>
                <w:sz w:val="22"/>
                <w:szCs w:val="22"/>
              </w:rPr>
            </w:pPr>
            <w:r w:rsidRPr="0044342D">
              <w:rPr>
                <w:rFonts w:ascii="Times New Roman" w:eastAsia="Cambria" w:hAnsi="Times New Roman" w:cs="Times New Roman"/>
                <w:sz w:val="22"/>
                <w:szCs w:val="22"/>
              </w:rPr>
              <w:t>0</w:t>
            </w:r>
            <w:r w:rsidR="00496104" w:rsidRPr="0044342D">
              <w:rPr>
                <w:rFonts w:ascii="Times New Roman" w:eastAsia="Cambria" w:hAnsi="Times New Roman" w:cs="Times New Roman"/>
                <w:sz w:val="22"/>
                <w:szCs w:val="22"/>
              </w:rPr>
              <w:t>.45 (</w:t>
            </w:r>
            <w:r w:rsidRPr="0044342D">
              <w:rPr>
                <w:rFonts w:ascii="Times New Roman" w:eastAsia="Cambria" w:hAnsi="Times New Roman" w:cs="Times New Roman"/>
                <w:sz w:val="22"/>
                <w:szCs w:val="22"/>
              </w:rPr>
              <w:t>0</w:t>
            </w:r>
            <w:r w:rsidR="00496104" w:rsidRPr="0044342D">
              <w:rPr>
                <w:rFonts w:ascii="Times New Roman" w:eastAsia="Cambria" w:hAnsi="Times New Roman" w:cs="Times New Roman"/>
                <w:sz w:val="22"/>
                <w:szCs w:val="22"/>
              </w:rPr>
              <w:t xml:space="preserve">.30 to </w:t>
            </w:r>
            <w:r w:rsidRPr="0044342D">
              <w:rPr>
                <w:rFonts w:ascii="Times New Roman" w:eastAsia="Cambria" w:hAnsi="Times New Roman" w:cs="Times New Roman"/>
                <w:sz w:val="22"/>
                <w:szCs w:val="22"/>
              </w:rPr>
              <w:t>0</w:t>
            </w:r>
            <w:r w:rsidR="00496104" w:rsidRPr="0044342D">
              <w:rPr>
                <w:rFonts w:ascii="Times New Roman" w:eastAsia="Cambria" w:hAnsi="Times New Roman" w:cs="Times New Roman"/>
                <w:sz w:val="22"/>
                <w:szCs w:val="22"/>
              </w:rPr>
              <w:t>.60)</w:t>
            </w:r>
          </w:p>
        </w:tc>
      </w:tr>
      <w:tr w:rsidR="00496104" w:rsidRPr="0044342D" w:rsidTr="0044342D">
        <w:trPr>
          <w:jc w:val="center"/>
        </w:trPr>
        <w:tc>
          <w:tcPr>
            <w:tcW w:w="2448" w:type="dxa"/>
          </w:tcPr>
          <w:p w:rsidR="00496104" w:rsidRPr="0044342D" w:rsidRDefault="00577F03"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 xml:space="preserve">OC </w:t>
            </w:r>
            <w:r w:rsidR="00496104" w:rsidRPr="0044342D">
              <w:rPr>
                <w:rFonts w:ascii="Times New Roman" w:hAnsi="Times New Roman" w:cs="Times New Roman"/>
                <w:sz w:val="22"/>
                <w:szCs w:val="22"/>
              </w:rPr>
              <w:t>a</w:t>
            </w:r>
            <w:r w:rsidRPr="0044342D">
              <w:rPr>
                <w:rFonts w:ascii="Times New Roman" w:hAnsi="Times New Roman" w:cs="Times New Roman"/>
                <w:sz w:val="22"/>
                <w:szCs w:val="22"/>
              </w:rPr>
              <w:t>ll</w:t>
            </w:r>
          </w:p>
        </w:tc>
        <w:tc>
          <w:tcPr>
            <w:tcW w:w="2160" w:type="dxa"/>
          </w:tcPr>
          <w:p w:rsidR="00496104" w:rsidRPr="0044342D" w:rsidRDefault="00670A96"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-0.19</w:t>
            </w:r>
            <w:r w:rsidR="002D50F4" w:rsidRPr="0044342D">
              <w:rPr>
                <w:rFonts w:ascii="Times New Roman" w:hAnsi="Times New Roman" w:cs="Times New Roman"/>
                <w:sz w:val="22"/>
                <w:szCs w:val="22"/>
              </w:rPr>
              <w:t xml:space="preserve"> (+0.01 to -0.39)</w:t>
            </w:r>
          </w:p>
        </w:tc>
        <w:tc>
          <w:tcPr>
            <w:tcW w:w="2160" w:type="dxa"/>
          </w:tcPr>
          <w:p w:rsidR="00496104" w:rsidRPr="0044342D" w:rsidRDefault="00175F1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-0.29</w:t>
            </w:r>
            <w:r w:rsidR="00085274" w:rsidRPr="0044342D">
              <w:rPr>
                <w:rFonts w:ascii="Times New Roman" w:hAnsi="Times New Roman" w:cs="Times New Roman"/>
                <w:sz w:val="22"/>
                <w:szCs w:val="22"/>
              </w:rPr>
              <w:t xml:space="preserve"> (-0.11 to -0.50)</w:t>
            </w:r>
          </w:p>
        </w:tc>
        <w:tc>
          <w:tcPr>
            <w:tcW w:w="208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eastAsia="Cambria" w:hAnsi="Times New Roman" w:cs="Times New Roman"/>
                <w:sz w:val="22"/>
                <w:szCs w:val="22"/>
              </w:rPr>
              <w:t>-</w:t>
            </w:r>
            <w:r w:rsidR="002077BB" w:rsidRPr="0044342D">
              <w:rPr>
                <w:rFonts w:ascii="Times New Roman" w:eastAsia="Cambria" w:hAnsi="Times New Roman" w:cs="Times New Roman"/>
                <w:sz w:val="22"/>
                <w:szCs w:val="22"/>
              </w:rPr>
              <w:t>0</w:t>
            </w:r>
            <w:r w:rsidRPr="0044342D">
              <w:rPr>
                <w:rFonts w:ascii="Times New Roman" w:eastAsia="Cambria" w:hAnsi="Times New Roman" w:cs="Times New Roman"/>
                <w:sz w:val="22"/>
                <w:szCs w:val="22"/>
              </w:rPr>
              <w:t>.20 (-</w:t>
            </w:r>
            <w:r w:rsidR="002077BB" w:rsidRPr="0044342D">
              <w:rPr>
                <w:rFonts w:ascii="Times New Roman" w:eastAsia="Cambria" w:hAnsi="Times New Roman" w:cs="Times New Roman"/>
                <w:sz w:val="22"/>
                <w:szCs w:val="22"/>
              </w:rPr>
              <w:t>0</w:t>
            </w:r>
            <w:r w:rsidRPr="0044342D">
              <w:rPr>
                <w:rFonts w:ascii="Times New Roman" w:eastAsia="Cambria" w:hAnsi="Times New Roman" w:cs="Times New Roman"/>
                <w:sz w:val="22"/>
                <w:szCs w:val="22"/>
              </w:rPr>
              <w:t>.09 to -</w:t>
            </w:r>
            <w:r w:rsidR="002077BB" w:rsidRPr="0044342D">
              <w:rPr>
                <w:rFonts w:ascii="Times New Roman" w:eastAsia="Cambria" w:hAnsi="Times New Roman" w:cs="Times New Roman"/>
                <w:sz w:val="22"/>
                <w:szCs w:val="22"/>
              </w:rPr>
              <w:t>0</w:t>
            </w:r>
            <w:r w:rsidRPr="0044342D">
              <w:rPr>
                <w:rFonts w:ascii="Times New Roman" w:eastAsia="Cambria" w:hAnsi="Times New Roman" w:cs="Times New Roman"/>
                <w:sz w:val="22"/>
                <w:szCs w:val="22"/>
              </w:rPr>
              <w:t>.31)</w:t>
            </w:r>
          </w:p>
        </w:tc>
      </w:tr>
      <w:tr w:rsidR="00496104" w:rsidRPr="0044342D" w:rsidTr="0044342D">
        <w:trPr>
          <w:jc w:val="center"/>
        </w:trPr>
        <w:tc>
          <w:tcPr>
            <w:tcW w:w="244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BC albedo</w:t>
            </w:r>
          </w:p>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[effective]</w:t>
            </w:r>
          </w:p>
        </w:tc>
        <w:tc>
          <w:tcPr>
            <w:tcW w:w="2160" w:type="dxa"/>
          </w:tcPr>
          <w:p w:rsidR="00496104" w:rsidRPr="0044342D" w:rsidRDefault="00C37EA6"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0.1 (0.0 to 0.2)</w:t>
            </w:r>
          </w:p>
        </w:tc>
        <w:tc>
          <w:tcPr>
            <w:tcW w:w="2160"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0.04</w:t>
            </w:r>
            <w:r w:rsidR="00C37EA6" w:rsidRPr="0044342D">
              <w:rPr>
                <w:rFonts w:ascii="Times New Roman" w:hAnsi="Times New Roman" w:cs="Times New Roman"/>
                <w:sz w:val="22"/>
                <w:szCs w:val="22"/>
              </w:rPr>
              <w:t xml:space="preserve"> (0.02 to </w:t>
            </w:r>
            <w:r w:rsidRPr="0044342D">
              <w:rPr>
                <w:rFonts w:ascii="Times New Roman" w:hAnsi="Times New Roman" w:cs="Times New Roman"/>
                <w:sz w:val="22"/>
                <w:szCs w:val="22"/>
              </w:rPr>
              <w:t>0.09)</w:t>
            </w:r>
          </w:p>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[~0.12]</w:t>
            </w:r>
          </w:p>
        </w:tc>
        <w:tc>
          <w:tcPr>
            <w:tcW w:w="208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0.03 (0.01 to 0.05)</w:t>
            </w:r>
          </w:p>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[~0.15]</w:t>
            </w:r>
          </w:p>
        </w:tc>
      </w:tr>
      <w:tr w:rsidR="00496104" w:rsidRPr="0044342D" w:rsidTr="0044342D">
        <w:trPr>
          <w:jc w:val="center"/>
        </w:trPr>
        <w:tc>
          <w:tcPr>
            <w:tcW w:w="244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CO</w:t>
            </w:r>
          </w:p>
        </w:tc>
        <w:tc>
          <w:tcPr>
            <w:tcW w:w="2160" w:type="dxa"/>
          </w:tcPr>
          <w:p w:rsidR="00496104" w:rsidRPr="0044342D" w:rsidRDefault="00670A96"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N/A</w:t>
            </w:r>
          </w:p>
        </w:tc>
        <w:tc>
          <w:tcPr>
            <w:tcW w:w="2160"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0.23 (0.17 to 0.29)</w:t>
            </w:r>
          </w:p>
        </w:tc>
        <w:tc>
          <w:tcPr>
            <w:tcW w:w="2088" w:type="dxa"/>
          </w:tcPr>
          <w:p w:rsidR="00496104" w:rsidRPr="0044342D" w:rsidRDefault="006F4AC5"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~0.25</w:t>
            </w:r>
          </w:p>
        </w:tc>
      </w:tr>
      <w:tr w:rsidR="00496104" w:rsidRPr="0044342D" w:rsidTr="0044342D">
        <w:trPr>
          <w:jc w:val="center"/>
        </w:trPr>
        <w:tc>
          <w:tcPr>
            <w:tcW w:w="2448"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Methane</w:t>
            </w:r>
          </w:p>
        </w:tc>
        <w:tc>
          <w:tcPr>
            <w:tcW w:w="2160" w:type="dxa"/>
          </w:tcPr>
          <w:p w:rsidR="00496104" w:rsidRPr="0044342D" w:rsidRDefault="00670A96"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0.86</w:t>
            </w:r>
          </w:p>
        </w:tc>
        <w:tc>
          <w:tcPr>
            <w:tcW w:w="2160" w:type="dxa"/>
          </w:tcPr>
          <w:p w:rsidR="00496104" w:rsidRPr="0044342D" w:rsidRDefault="00496104"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0.97 (0.81 to 1.13)</w:t>
            </w:r>
          </w:p>
        </w:tc>
        <w:tc>
          <w:tcPr>
            <w:tcW w:w="2088" w:type="dxa"/>
          </w:tcPr>
          <w:p w:rsidR="00496104" w:rsidRPr="0044342D" w:rsidRDefault="006F4AC5"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~0.99</w:t>
            </w:r>
          </w:p>
        </w:tc>
      </w:tr>
    </w:tbl>
    <w:p w:rsidR="00FD25EF" w:rsidRPr="0044342D" w:rsidRDefault="002077BB" w:rsidP="0044342D">
      <w:pPr>
        <w:rPr>
          <w:rFonts w:ascii="Times New Roman" w:hAnsi="Times New Roman" w:cs="Times New Roman"/>
          <w:sz w:val="20"/>
          <w:szCs w:val="20"/>
        </w:rPr>
      </w:pPr>
      <w:r w:rsidRPr="0044342D">
        <w:rPr>
          <w:rFonts w:ascii="Times New Roman" w:hAnsi="Times New Roman" w:cs="Times New Roman"/>
          <w:sz w:val="20"/>
          <w:szCs w:val="20"/>
        </w:rPr>
        <w:t>A</w:t>
      </w:r>
      <w:r w:rsidR="00D60D1D" w:rsidRPr="0044342D">
        <w:rPr>
          <w:rFonts w:ascii="Times New Roman" w:hAnsi="Times New Roman" w:cs="Times New Roman"/>
          <w:sz w:val="20"/>
          <w:szCs w:val="20"/>
        </w:rPr>
        <w:t xml:space="preserve">erosol forcings </w:t>
      </w:r>
      <w:r w:rsidRPr="0044342D">
        <w:rPr>
          <w:rFonts w:ascii="Times New Roman" w:hAnsi="Times New Roman" w:cs="Times New Roman"/>
          <w:sz w:val="20"/>
          <w:szCs w:val="20"/>
        </w:rPr>
        <w:t xml:space="preserve">are direct (RFari) </w:t>
      </w:r>
      <w:r w:rsidR="00D60D1D" w:rsidRPr="0044342D">
        <w:rPr>
          <w:rFonts w:ascii="Times New Roman" w:hAnsi="Times New Roman" w:cs="Times New Roman"/>
          <w:sz w:val="20"/>
          <w:szCs w:val="20"/>
        </w:rPr>
        <w:t>only</w:t>
      </w:r>
      <w:r w:rsidRPr="0044342D">
        <w:rPr>
          <w:rFonts w:ascii="Times New Roman" w:hAnsi="Times New Roman" w:cs="Times New Roman"/>
          <w:sz w:val="20"/>
          <w:szCs w:val="20"/>
        </w:rPr>
        <w:t xml:space="preserve"> except for the </w:t>
      </w:r>
      <w:r w:rsidR="00CD47CE" w:rsidRPr="0044342D">
        <w:rPr>
          <w:rFonts w:ascii="Times New Roman" w:hAnsi="Times New Roman" w:cs="Times New Roman"/>
          <w:sz w:val="20"/>
          <w:szCs w:val="20"/>
        </w:rPr>
        <w:t xml:space="preserve">AR5 and UNEP </w:t>
      </w:r>
      <w:r w:rsidRPr="0044342D">
        <w:rPr>
          <w:rFonts w:ascii="Times New Roman" w:hAnsi="Times New Roman" w:cs="Times New Roman"/>
          <w:sz w:val="20"/>
          <w:szCs w:val="20"/>
        </w:rPr>
        <w:t>value</w:t>
      </w:r>
      <w:r w:rsidR="00CD47CE" w:rsidRPr="0044342D">
        <w:rPr>
          <w:rFonts w:ascii="Times New Roman" w:hAnsi="Times New Roman" w:cs="Times New Roman"/>
          <w:sz w:val="20"/>
          <w:szCs w:val="20"/>
        </w:rPr>
        <w:t>s</w:t>
      </w:r>
      <w:r w:rsidRPr="0044342D">
        <w:rPr>
          <w:rFonts w:ascii="Times New Roman" w:hAnsi="Times New Roman" w:cs="Times New Roman"/>
          <w:sz w:val="20"/>
          <w:szCs w:val="20"/>
        </w:rPr>
        <w:t xml:space="preserve"> for total BC</w:t>
      </w:r>
      <w:r w:rsidR="00CD47CE" w:rsidRPr="0044342D">
        <w:rPr>
          <w:rFonts w:ascii="Times New Roman" w:hAnsi="Times New Roman" w:cs="Times New Roman"/>
          <w:sz w:val="20"/>
          <w:szCs w:val="20"/>
        </w:rPr>
        <w:t xml:space="preserve"> which include non-microphysical cloud responses</w:t>
      </w:r>
      <w:r w:rsidR="006C3FA9" w:rsidRPr="0044342D">
        <w:rPr>
          <w:rFonts w:ascii="Times New Roman" w:hAnsi="Times New Roman" w:cs="Times New Roman"/>
          <w:sz w:val="20"/>
          <w:szCs w:val="20"/>
        </w:rPr>
        <w:t xml:space="preserve"> (ERFari-RFari)</w:t>
      </w:r>
      <w:r w:rsidR="00D60D1D" w:rsidRPr="0044342D">
        <w:rPr>
          <w:rFonts w:ascii="Times New Roman" w:hAnsi="Times New Roman" w:cs="Times New Roman"/>
          <w:sz w:val="20"/>
          <w:szCs w:val="20"/>
        </w:rPr>
        <w:t>.</w:t>
      </w:r>
      <w:r w:rsidR="00FC729D" w:rsidRPr="0044342D">
        <w:rPr>
          <w:rFonts w:ascii="Times New Roman" w:hAnsi="Times New Roman" w:cs="Times New Roman"/>
          <w:sz w:val="20"/>
          <w:szCs w:val="20"/>
        </w:rPr>
        <w:t xml:space="preserve"> </w:t>
      </w:r>
      <w:r w:rsidR="00577F03" w:rsidRPr="0044342D">
        <w:rPr>
          <w:rFonts w:ascii="Times New Roman" w:hAnsi="Times New Roman" w:cs="Times New Roman"/>
          <w:sz w:val="20"/>
          <w:szCs w:val="20"/>
        </w:rPr>
        <w:t xml:space="preserve">The remaining </w:t>
      </w:r>
      <w:r w:rsidR="00FC729D" w:rsidRPr="0044342D">
        <w:rPr>
          <w:rFonts w:ascii="Times New Roman" w:hAnsi="Times New Roman" w:cs="Times New Roman"/>
          <w:sz w:val="20"/>
          <w:szCs w:val="20"/>
        </w:rPr>
        <w:t>RF due to aerosol-cloud interactions (ERFaci) was not separated into components in AR5.</w:t>
      </w:r>
      <w:r w:rsidR="00D60D1D" w:rsidRPr="0044342D">
        <w:rPr>
          <w:rFonts w:ascii="Times New Roman" w:hAnsi="Times New Roman" w:cs="Times New Roman"/>
          <w:sz w:val="20"/>
          <w:szCs w:val="20"/>
        </w:rPr>
        <w:t xml:space="preserve"> </w:t>
      </w:r>
      <w:r w:rsidR="009A1CF0" w:rsidRPr="0044342D">
        <w:rPr>
          <w:rFonts w:ascii="Times New Roman" w:eastAsia="Cambria" w:hAnsi="Times New Roman" w:cs="Times New Roman"/>
          <w:sz w:val="20"/>
          <w:szCs w:val="20"/>
        </w:rPr>
        <w:t xml:space="preserve">Values for BC albedo forcing </w:t>
      </w:r>
      <w:r w:rsidR="00496104" w:rsidRPr="0044342D">
        <w:rPr>
          <w:rFonts w:ascii="Times New Roman" w:eastAsia="Cambria" w:hAnsi="Times New Roman" w:cs="Times New Roman"/>
          <w:sz w:val="20"/>
          <w:szCs w:val="20"/>
        </w:rPr>
        <w:t>in brackets include an</w:t>
      </w:r>
      <w:r w:rsidR="009A1CF0" w:rsidRPr="0044342D">
        <w:rPr>
          <w:rFonts w:ascii="Times New Roman" w:eastAsia="Cambria" w:hAnsi="Times New Roman" w:cs="Times New Roman"/>
          <w:sz w:val="20"/>
          <w:szCs w:val="20"/>
        </w:rPr>
        <w:t xml:space="preserve"> adjustment for the enhanced efficacy of this process</w:t>
      </w:r>
      <w:r w:rsidR="009A1CF0" w:rsidRPr="0044342D">
        <w:rPr>
          <w:rFonts w:ascii="Times New Roman" w:hAnsi="Times New Roman" w:cs="Times New Roman"/>
          <w:sz w:val="20"/>
          <w:szCs w:val="20"/>
        </w:rPr>
        <w:t xml:space="preserve">. </w:t>
      </w:r>
      <w:r w:rsidR="00194AA0" w:rsidRPr="0044342D">
        <w:rPr>
          <w:rFonts w:ascii="Times New Roman" w:hAnsi="Times New Roman" w:cs="Times New Roman"/>
          <w:sz w:val="20"/>
          <w:szCs w:val="20"/>
        </w:rPr>
        <w:t xml:space="preserve">For </w:t>
      </w:r>
      <w:r w:rsidR="00085274" w:rsidRPr="0044342D">
        <w:rPr>
          <w:rFonts w:ascii="Times New Roman" w:hAnsi="Times New Roman" w:cs="Times New Roman"/>
          <w:sz w:val="20"/>
          <w:szCs w:val="20"/>
        </w:rPr>
        <w:t>UNEP/WMO</w:t>
      </w:r>
      <w:r w:rsidR="00194AA0" w:rsidRPr="0044342D">
        <w:rPr>
          <w:rFonts w:ascii="Times New Roman" w:hAnsi="Times New Roman" w:cs="Times New Roman"/>
          <w:sz w:val="20"/>
          <w:szCs w:val="20"/>
        </w:rPr>
        <w:t>,</w:t>
      </w:r>
      <w:r w:rsidR="00085274" w:rsidRPr="0044342D">
        <w:rPr>
          <w:rFonts w:ascii="Times New Roman" w:hAnsi="Times New Roman" w:cs="Times New Roman"/>
          <w:sz w:val="20"/>
          <w:szCs w:val="20"/>
        </w:rPr>
        <w:t xml:space="preserve"> the ‘central ranges’ </w:t>
      </w:r>
      <w:r w:rsidR="00194AA0" w:rsidRPr="0044342D">
        <w:rPr>
          <w:rFonts w:ascii="Times New Roman" w:hAnsi="Times New Roman" w:cs="Times New Roman"/>
          <w:sz w:val="20"/>
          <w:szCs w:val="20"/>
        </w:rPr>
        <w:t xml:space="preserve">were use in most calculations, and so are </w:t>
      </w:r>
      <w:r w:rsidR="00085274" w:rsidRPr="0044342D">
        <w:rPr>
          <w:rFonts w:ascii="Times New Roman" w:hAnsi="Times New Roman" w:cs="Times New Roman"/>
          <w:sz w:val="20"/>
          <w:szCs w:val="20"/>
        </w:rPr>
        <w:t xml:space="preserve">given here, but full ranges </w:t>
      </w:r>
      <w:r w:rsidR="00194AA0" w:rsidRPr="0044342D">
        <w:rPr>
          <w:rFonts w:ascii="Times New Roman" w:hAnsi="Times New Roman" w:cs="Times New Roman"/>
          <w:sz w:val="20"/>
          <w:szCs w:val="20"/>
        </w:rPr>
        <w:t xml:space="preserve">that are </w:t>
      </w:r>
      <w:r w:rsidR="00085274" w:rsidRPr="0044342D">
        <w:rPr>
          <w:rFonts w:ascii="Times New Roman" w:hAnsi="Times New Roman" w:cs="Times New Roman"/>
          <w:sz w:val="20"/>
          <w:szCs w:val="20"/>
        </w:rPr>
        <w:t>similar to those in AR5</w:t>
      </w:r>
      <w:r w:rsidR="00194AA0" w:rsidRPr="0044342D">
        <w:rPr>
          <w:rFonts w:ascii="Times New Roman" w:hAnsi="Times New Roman" w:cs="Times New Roman"/>
          <w:sz w:val="20"/>
          <w:szCs w:val="20"/>
        </w:rPr>
        <w:t xml:space="preserve"> were also reported</w:t>
      </w:r>
      <w:r w:rsidR="00085274" w:rsidRPr="0044342D">
        <w:rPr>
          <w:rFonts w:ascii="Times New Roman" w:hAnsi="Times New Roman" w:cs="Times New Roman"/>
          <w:sz w:val="20"/>
          <w:szCs w:val="20"/>
        </w:rPr>
        <w:t xml:space="preserve">. </w:t>
      </w:r>
      <w:r w:rsidR="00931763" w:rsidRPr="0044342D">
        <w:rPr>
          <w:rFonts w:ascii="Times New Roman" w:hAnsi="Times New Roman" w:cs="Times New Roman"/>
          <w:sz w:val="20"/>
          <w:szCs w:val="20"/>
        </w:rPr>
        <w:t>Ozone is not shown as it is not directly emitted, but substantial portions of the forcing d</w:t>
      </w:r>
      <w:r w:rsidR="00E230B6" w:rsidRPr="0044342D">
        <w:rPr>
          <w:rFonts w:ascii="Times New Roman" w:hAnsi="Times New Roman" w:cs="Times New Roman"/>
          <w:sz w:val="20"/>
          <w:szCs w:val="20"/>
        </w:rPr>
        <w:t>ue to CO and methane emissions are attributable to the resulting ozone formation</w:t>
      </w:r>
      <w:r w:rsidR="00931763" w:rsidRPr="0044342D">
        <w:rPr>
          <w:rFonts w:ascii="Times New Roman" w:hAnsi="Times New Roman" w:cs="Times New Roman"/>
          <w:sz w:val="20"/>
          <w:szCs w:val="20"/>
        </w:rPr>
        <w:t xml:space="preserve">. </w:t>
      </w:r>
      <w:r w:rsidR="00085274" w:rsidRPr="0044342D">
        <w:rPr>
          <w:rFonts w:ascii="Times New Roman" w:hAnsi="Times New Roman" w:cs="Times New Roman"/>
          <w:sz w:val="20"/>
          <w:szCs w:val="20"/>
        </w:rPr>
        <w:t>AR5 s</w:t>
      </w:r>
      <w:r w:rsidR="00D60D1D" w:rsidRPr="0044342D">
        <w:rPr>
          <w:rFonts w:ascii="Times New Roman" w:hAnsi="Times New Roman" w:cs="Times New Roman"/>
          <w:sz w:val="20"/>
          <w:szCs w:val="20"/>
        </w:rPr>
        <w:t xml:space="preserve">ources: Table 8.4; Sections 7.5 &amp; 8.3; </w:t>
      </w:r>
      <w:r w:rsidR="00567365" w:rsidRPr="0044342D">
        <w:rPr>
          <w:rFonts w:ascii="Times New Roman" w:hAnsi="Times New Roman" w:cs="Times New Roman"/>
          <w:sz w:val="20"/>
          <w:szCs w:val="20"/>
        </w:rPr>
        <w:t>Tables 8.SM.6 &amp; 8.SM.7</w:t>
      </w:r>
      <w:r w:rsidR="00684C58" w:rsidRPr="0044342D">
        <w:rPr>
          <w:rFonts w:ascii="Times New Roman" w:hAnsi="Times New Roman" w:cs="Times New Roman"/>
          <w:sz w:val="20"/>
          <w:szCs w:val="20"/>
        </w:rPr>
        <w:t>.</w:t>
      </w:r>
    </w:p>
    <w:p w:rsidR="009A3A6F" w:rsidRPr="0044342D" w:rsidRDefault="009A3A6F" w:rsidP="0044342D">
      <w:pPr>
        <w:spacing w:line="276" w:lineRule="auto"/>
        <w:rPr>
          <w:rFonts w:ascii="Times New Roman" w:hAnsi="Times New Roman" w:cs="Times New Roman"/>
          <w:sz w:val="22"/>
          <w:szCs w:val="22"/>
        </w:rPr>
      </w:pPr>
    </w:p>
    <w:p w:rsidR="00E62F52" w:rsidRPr="0044342D" w:rsidRDefault="0044342D"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It also discourages the use of CO</w:t>
      </w:r>
      <w:r w:rsidRPr="0044342D">
        <w:rPr>
          <w:rFonts w:ascii="Times New Roman" w:hAnsi="Times New Roman" w:cs="Times New Roman"/>
          <w:sz w:val="22"/>
          <w:szCs w:val="22"/>
          <w:vertAlign w:val="subscript"/>
        </w:rPr>
        <w:t>2</w:t>
      </w:r>
      <w:r w:rsidRPr="0044342D">
        <w:rPr>
          <w:rFonts w:ascii="Times New Roman" w:hAnsi="Times New Roman" w:cs="Times New Roman"/>
          <w:sz w:val="22"/>
          <w:szCs w:val="22"/>
        </w:rPr>
        <w:t xml:space="preserve"> </w:t>
      </w:r>
      <w:r w:rsidR="00E62F52" w:rsidRPr="0044342D">
        <w:rPr>
          <w:rFonts w:ascii="Times New Roman" w:hAnsi="Times New Roman" w:cs="Times New Roman"/>
          <w:sz w:val="22"/>
          <w:szCs w:val="22"/>
        </w:rPr>
        <w:t>equivalence, stating “</w:t>
      </w:r>
      <w:r w:rsidR="00E62F52" w:rsidRPr="0044342D">
        <w:rPr>
          <w:rFonts w:ascii="Times New Roman" w:hAnsi="Times New Roman" w:cs="Times New Roman"/>
          <w:color w:val="000000"/>
          <w:sz w:val="22"/>
          <w:szCs w:val="22"/>
        </w:rPr>
        <w:t>a metric that establishes equivalence with regard to one effect cannot guarantee equivalence with regard to other effects and over extended time periods</w:t>
      </w:r>
      <w:r w:rsidR="00E62F52" w:rsidRPr="0044342D">
        <w:rPr>
          <w:rFonts w:ascii="Times New Roman" w:hAnsi="Times New Roman" w:cs="Times New Roman"/>
          <w:sz w:val="22"/>
          <w:szCs w:val="22"/>
        </w:rPr>
        <w:t>”.</w:t>
      </w:r>
    </w:p>
    <w:p w:rsidR="00AE50C3" w:rsidRPr="0044342D" w:rsidRDefault="00B77B91" w:rsidP="0044342D">
      <w:pPr>
        <w:spacing w:line="276" w:lineRule="auto"/>
        <w:ind w:firstLine="720"/>
        <w:rPr>
          <w:rFonts w:ascii="Times New Roman" w:hAnsi="Times New Roman" w:cs="Times New Roman"/>
          <w:color w:val="000000"/>
          <w:sz w:val="22"/>
          <w:szCs w:val="22"/>
        </w:rPr>
      </w:pPr>
      <w:r w:rsidRPr="0044342D">
        <w:rPr>
          <w:rFonts w:ascii="Times New Roman" w:hAnsi="Times New Roman" w:cs="Times New Roman"/>
          <w:sz w:val="22"/>
          <w:szCs w:val="22"/>
        </w:rPr>
        <w:t>After stressing the need for careful interpretation and usage of emission metrics, the AR5 then presents updated values</w:t>
      </w:r>
      <w:r w:rsidR="0048485F" w:rsidRPr="0044342D">
        <w:rPr>
          <w:rFonts w:ascii="Times New Roman" w:hAnsi="Times New Roman" w:cs="Times New Roman"/>
          <w:sz w:val="22"/>
          <w:szCs w:val="22"/>
        </w:rPr>
        <w:t xml:space="preserve"> (Section 8.7)</w:t>
      </w:r>
      <w:r w:rsidRPr="0044342D">
        <w:rPr>
          <w:rFonts w:ascii="Times New Roman" w:hAnsi="Times New Roman" w:cs="Times New Roman"/>
          <w:sz w:val="22"/>
          <w:szCs w:val="22"/>
        </w:rPr>
        <w:t>. An important bias in prior metric calculations is discussed in that</w:t>
      </w:r>
      <w:r w:rsidR="00AE50C3" w:rsidRPr="0044342D">
        <w:rPr>
          <w:rFonts w:ascii="Times New Roman" w:hAnsi="Times New Roman" w:cs="Times New Roman"/>
          <w:sz w:val="22"/>
          <w:szCs w:val="22"/>
        </w:rPr>
        <w:t xml:space="preserve"> whereas</w:t>
      </w:r>
      <w:r w:rsidRPr="0044342D">
        <w:rPr>
          <w:rFonts w:ascii="Times New Roman" w:hAnsi="Times New Roman" w:cs="Times New Roman"/>
          <w:sz w:val="22"/>
          <w:szCs w:val="22"/>
        </w:rPr>
        <w:t xml:space="preserve"> “</w:t>
      </w:r>
      <w:r w:rsidR="00230F3E">
        <w:rPr>
          <w:rFonts w:ascii="Times New Roman" w:hAnsi="Times New Roman" w:cs="Times New Roman"/>
          <w:color w:val="000000"/>
          <w:sz w:val="22"/>
          <w:szCs w:val="22"/>
        </w:rPr>
        <w:t xml:space="preserve">the </w:t>
      </w:r>
      <w:r w:rsidRPr="0044342D">
        <w:rPr>
          <w:rFonts w:ascii="Times New Roman" w:hAnsi="Times New Roman" w:cs="Times New Roman"/>
          <w:color w:val="000000"/>
          <w:sz w:val="22"/>
          <w:szCs w:val="22"/>
        </w:rPr>
        <w:t>GWP for the reference gas CO</w:t>
      </w:r>
      <w:r w:rsidRPr="0044342D">
        <w:rPr>
          <w:rStyle w:val="A10"/>
          <w:rFonts w:ascii="Times New Roman" w:hAnsi="Times New Roman" w:cs="Times New Roman"/>
          <w:sz w:val="22"/>
          <w:szCs w:val="22"/>
          <w:vertAlign w:val="subscript"/>
        </w:rPr>
        <w:t>2</w:t>
      </w:r>
      <w:r w:rsidRPr="0044342D">
        <w:rPr>
          <w:rStyle w:val="A10"/>
          <w:rFonts w:ascii="Times New Roman" w:hAnsi="Times New Roman" w:cs="Times New Roman"/>
          <w:sz w:val="22"/>
          <w:szCs w:val="22"/>
        </w:rPr>
        <w:t xml:space="preserve"> </w:t>
      </w:r>
      <w:r w:rsidRPr="0044342D">
        <w:rPr>
          <w:rFonts w:ascii="Times New Roman" w:hAnsi="Times New Roman" w:cs="Times New Roman"/>
          <w:color w:val="000000"/>
          <w:sz w:val="22"/>
          <w:szCs w:val="22"/>
        </w:rPr>
        <w:t>included cli</w:t>
      </w:r>
      <w:r w:rsidRPr="0044342D">
        <w:rPr>
          <w:rFonts w:ascii="Times New Roman" w:hAnsi="Times New Roman" w:cs="Times New Roman"/>
          <w:color w:val="000000"/>
          <w:sz w:val="22"/>
          <w:szCs w:val="22"/>
        </w:rPr>
        <w:softHyphen/>
        <w:t>mate–carbon feedbacks, this is not the case for the non-CO</w:t>
      </w:r>
      <w:r w:rsidR="004C0327" w:rsidRPr="0044342D">
        <w:rPr>
          <w:rStyle w:val="A10"/>
          <w:rFonts w:ascii="Times New Roman" w:hAnsi="Times New Roman" w:cs="Times New Roman"/>
          <w:sz w:val="22"/>
          <w:szCs w:val="22"/>
          <w:vertAlign w:val="subscript"/>
        </w:rPr>
        <w:t>2</w:t>
      </w:r>
      <w:r w:rsidRPr="0044342D">
        <w:rPr>
          <w:rStyle w:val="A10"/>
          <w:rFonts w:ascii="Times New Roman" w:hAnsi="Times New Roman" w:cs="Times New Roman"/>
          <w:sz w:val="22"/>
          <w:szCs w:val="22"/>
        </w:rPr>
        <w:t xml:space="preserve"> </w:t>
      </w:r>
      <w:r w:rsidRPr="0044342D">
        <w:rPr>
          <w:rFonts w:ascii="Times New Roman" w:hAnsi="Times New Roman" w:cs="Times New Roman"/>
          <w:color w:val="000000"/>
          <w:sz w:val="22"/>
          <w:szCs w:val="22"/>
        </w:rPr>
        <w:t>gas in the numerator of GWP. This means that the GWPs presented in AR4 may underestimate the relative impacts of non-CO</w:t>
      </w:r>
      <w:r w:rsidR="004C0327" w:rsidRPr="0044342D">
        <w:rPr>
          <w:rStyle w:val="A10"/>
          <w:rFonts w:ascii="Times New Roman" w:hAnsi="Times New Roman" w:cs="Times New Roman"/>
          <w:sz w:val="22"/>
          <w:szCs w:val="22"/>
          <w:vertAlign w:val="subscript"/>
        </w:rPr>
        <w:t>2</w:t>
      </w:r>
      <w:r w:rsidRPr="0044342D">
        <w:rPr>
          <w:rStyle w:val="A10"/>
          <w:rFonts w:ascii="Times New Roman" w:hAnsi="Times New Roman" w:cs="Times New Roman"/>
          <w:sz w:val="22"/>
          <w:szCs w:val="22"/>
        </w:rPr>
        <w:t xml:space="preserve"> </w:t>
      </w:r>
      <w:r w:rsidRPr="0044342D">
        <w:rPr>
          <w:rFonts w:ascii="Times New Roman" w:hAnsi="Times New Roman" w:cs="Times New Roman"/>
          <w:color w:val="000000"/>
          <w:sz w:val="22"/>
          <w:szCs w:val="22"/>
        </w:rPr>
        <w:t>gases.” The impacts in broad terms are</w:t>
      </w:r>
      <w:r w:rsidR="0019503C" w:rsidRPr="0044342D">
        <w:rPr>
          <w:rFonts w:ascii="Times New Roman" w:hAnsi="Times New Roman" w:cs="Times New Roman"/>
          <w:color w:val="000000"/>
          <w:sz w:val="22"/>
          <w:szCs w:val="22"/>
        </w:rPr>
        <w:t xml:space="preserve"> described as follows</w:t>
      </w:r>
      <w:r w:rsidR="00BF3AF3" w:rsidRPr="0044342D">
        <w:rPr>
          <w:rFonts w:ascii="Times New Roman" w:hAnsi="Times New Roman" w:cs="Times New Roman"/>
          <w:color w:val="000000"/>
          <w:sz w:val="22"/>
          <w:szCs w:val="22"/>
        </w:rPr>
        <w:t>, using the 100-yr GWP as an example</w:t>
      </w:r>
      <w:r w:rsidRPr="0044342D">
        <w:rPr>
          <w:rFonts w:ascii="Times New Roman" w:hAnsi="Times New Roman" w:cs="Times New Roman"/>
          <w:color w:val="000000"/>
          <w:sz w:val="22"/>
          <w:szCs w:val="22"/>
        </w:rPr>
        <w:t xml:space="preserve">: </w:t>
      </w:r>
    </w:p>
    <w:p w:rsidR="00AE50C3" w:rsidRPr="0044342D" w:rsidRDefault="0044342D" w:rsidP="0044342D">
      <w:pPr>
        <w:spacing w:line="276" w:lineRule="auto"/>
        <w:ind w:left="216"/>
        <w:rPr>
          <w:rFonts w:ascii="Times New Roman" w:hAnsi="Times New Roman" w:cs="Times New Roman"/>
          <w:i/>
          <w:sz w:val="22"/>
          <w:szCs w:val="22"/>
        </w:rPr>
      </w:pPr>
      <w:r w:rsidRPr="0044342D">
        <w:rPr>
          <w:rFonts w:ascii="Times New Roman" w:hAnsi="Times New Roman" w:cs="Times New Roman"/>
          <w:i/>
          <w:color w:val="000000"/>
          <w:sz w:val="22"/>
          <w:szCs w:val="22"/>
        </w:rPr>
        <w:t>“</w:t>
      </w:r>
      <w:r w:rsidR="00B77B91" w:rsidRPr="0044342D">
        <w:rPr>
          <w:rFonts w:ascii="Times New Roman" w:hAnsi="Times New Roman" w:cs="Times New Roman"/>
          <w:i/>
          <w:color w:val="000000"/>
          <w:sz w:val="22"/>
          <w:szCs w:val="22"/>
        </w:rPr>
        <w:t>The effect of including this feedback for the non-reference gas increas</w:t>
      </w:r>
      <w:r w:rsidR="00B77B91" w:rsidRPr="0044342D">
        <w:rPr>
          <w:rFonts w:ascii="Times New Roman" w:hAnsi="Times New Roman" w:cs="Times New Roman"/>
          <w:i/>
          <w:color w:val="000000"/>
          <w:sz w:val="22"/>
          <w:szCs w:val="22"/>
        </w:rPr>
        <w:softHyphen/>
        <w:t>es with time horizon due to the long-lived nature of the initiated CO</w:t>
      </w:r>
      <w:r w:rsidR="00B77B91" w:rsidRPr="0044342D">
        <w:rPr>
          <w:rStyle w:val="A10"/>
          <w:rFonts w:ascii="Times New Roman" w:hAnsi="Times New Roman" w:cs="Times New Roman"/>
          <w:i/>
          <w:sz w:val="22"/>
          <w:szCs w:val="22"/>
        </w:rPr>
        <w:t xml:space="preserve">2 </w:t>
      </w:r>
      <w:r w:rsidR="00B77B91" w:rsidRPr="0044342D">
        <w:rPr>
          <w:rFonts w:ascii="Times New Roman" w:hAnsi="Times New Roman" w:cs="Times New Roman"/>
          <w:i/>
          <w:color w:val="000000"/>
          <w:sz w:val="22"/>
          <w:szCs w:val="22"/>
        </w:rPr>
        <w:t>perturbation. The relative importance also increases with decreasing lifetime of the component, and is larger for GTP than GWP due to the integrative nature of GWP. We calculate an increase in the CH</w:t>
      </w:r>
      <w:r w:rsidR="00B77B91" w:rsidRPr="0044342D">
        <w:rPr>
          <w:rStyle w:val="A10"/>
          <w:rFonts w:ascii="Times New Roman" w:hAnsi="Times New Roman" w:cs="Times New Roman"/>
          <w:i/>
          <w:sz w:val="22"/>
          <w:szCs w:val="22"/>
        </w:rPr>
        <w:t xml:space="preserve">4 </w:t>
      </w:r>
      <w:r w:rsidR="00B77B91" w:rsidRPr="0044342D">
        <w:rPr>
          <w:rFonts w:ascii="Times New Roman" w:hAnsi="Times New Roman" w:cs="Times New Roman"/>
          <w:i/>
          <w:color w:val="000000"/>
          <w:sz w:val="22"/>
          <w:szCs w:val="22"/>
        </w:rPr>
        <w:t>GWP</w:t>
      </w:r>
      <w:r w:rsidR="00B77B91" w:rsidRPr="0044342D">
        <w:rPr>
          <w:rStyle w:val="A10"/>
          <w:rFonts w:ascii="Times New Roman" w:hAnsi="Times New Roman" w:cs="Times New Roman"/>
          <w:i/>
          <w:sz w:val="22"/>
          <w:szCs w:val="22"/>
        </w:rPr>
        <w:t xml:space="preserve">100 </w:t>
      </w:r>
      <w:r w:rsidR="00B77B91" w:rsidRPr="0044342D">
        <w:rPr>
          <w:rFonts w:ascii="Times New Roman" w:hAnsi="Times New Roman" w:cs="Times New Roman"/>
          <w:i/>
          <w:color w:val="000000"/>
          <w:sz w:val="22"/>
          <w:szCs w:val="22"/>
        </w:rPr>
        <w:t>of 20%. For GTP</w:t>
      </w:r>
      <w:r w:rsidR="00B77B91" w:rsidRPr="0044342D">
        <w:rPr>
          <w:rStyle w:val="A10"/>
          <w:rFonts w:ascii="Times New Roman" w:hAnsi="Times New Roman" w:cs="Times New Roman"/>
          <w:i/>
          <w:sz w:val="22"/>
          <w:szCs w:val="22"/>
        </w:rPr>
        <w:t>100</w:t>
      </w:r>
      <w:r w:rsidR="00B77B91" w:rsidRPr="0044342D">
        <w:rPr>
          <w:rFonts w:ascii="Times New Roman" w:hAnsi="Times New Roman" w:cs="Times New Roman"/>
          <w:i/>
          <w:color w:val="000000"/>
          <w:sz w:val="22"/>
          <w:szCs w:val="22"/>
        </w:rPr>
        <w:t xml:space="preserve">, however, the changes are much larger; of the order of 160%. For the shorter time horizons (e.g., 20 years) the effect of including this feedback is small (&lt;5%) for both GWP </w:t>
      </w:r>
      <w:r w:rsidR="0019503C" w:rsidRPr="0044342D">
        <w:rPr>
          <w:rFonts w:ascii="Times New Roman" w:hAnsi="Times New Roman" w:cs="Times New Roman"/>
          <w:i/>
          <w:color w:val="000000"/>
          <w:sz w:val="22"/>
          <w:szCs w:val="22"/>
        </w:rPr>
        <w:t>and GTP.</w:t>
      </w:r>
      <w:r w:rsidRPr="0044342D">
        <w:rPr>
          <w:rFonts w:ascii="Times New Roman" w:hAnsi="Times New Roman" w:cs="Times New Roman"/>
          <w:i/>
          <w:color w:val="000000"/>
          <w:sz w:val="22"/>
          <w:szCs w:val="22"/>
        </w:rPr>
        <w:t>”</w:t>
      </w:r>
    </w:p>
    <w:p w:rsidR="0044342D" w:rsidRDefault="0044342D" w:rsidP="0044342D">
      <w:pPr>
        <w:spacing w:line="276" w:lineRule="auto"/>
        <w:ind w:firstLine="720"/>
        <w:rPr>
          <w:rFonts w:ascii="Times New Roman" w:hAnsi="Times New Roman" w:cs="Times New Roman"/>
          <w:sz w:val="22"/>
          <w:szCs w:val="22"/>
        </w:rPr>
      </w:pPr>
    </w:p>
    <w:p w:rsidR="00AE50C3" w:rsidRPr="0044342D" w:rsidRDefault="00AE50C3" w:rsidP="0044342D">
      <w:pPr>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 xml:space="preserve">Factors such as advances in characterizing indirect impacts of emissions also influence the </w:t>
      </w:r>
      <w:r w:rsidR="00432301" w:rsidRPr="0044342D">
        <w:rPr>
          <w:rFonts w:ascii="Times New Roman" w:hAnsi="Times New Roman" w:cs="Times New Roman"/>
          <w:sz w:val="22"/>
          <w:szCs w:val="22"/>
        </w:rPr>
        <w:t>final metric values. A</w:t>
      </w:r>
      <w:r w:rsidR="00D23047" w:rsidRPr="0044342D">
        <w:rPr>
          <w:rFonts w:ascii="Times New Roman" w:hAnsi="Times New Roman" w:cs="Times New Roman"/>
          <w:sz w:val="22"/>
          <w:szCs w:val="22"/>
        </w:rPr>
        <w:t>n example of the end results is</w:t>
      </w:r>
      <w:r w:rsidRPr="0044342D">
        <w:rPr>
          <w:rFonts w:ascii="Times New Roman" w:hAnsi="Times New Roman" w:cs="Times New Roman"/>
          <w:sz w:val="22"/>
          <w:szCs w:val="22"/>
        </w:rPr>
        <w:t xml:space="preserve"> the GWP values for fossil methane</w:t>
      </w:r>
      <w:r w:rsidR="00432301" w:rsidRPr="0044342D">
        <w:rPr>
          <w:rFonts w:ascii="Times New Roman" w:hAnsi="Times New Roman" w:cs="Times New Roman"/>
          <w:sz w:val="22"/>
          <w:szCs w:val="22"/>
        </w:rPr>
        <w:t>, which</w:t>
      </w:r>
      <w:r w:rsidRPr="0044342D">
        <w:rPr>
          <w:rFonts w:ascii="Times New Roman" w:hAnsi="Times New Roman" w:cs="Times New Roman"/>
          <w:sz w:val="22"/>
          <w:szCs w:val="22"/>
        </w:rPr>
        <w:t xml:space="preserve"> a</w:t>
      </w:r>
      <w:r w:rsidR="00D23047" w:rsidRPr="0044342D">
        <w:rPr>
          <w:rFonts w:ascii="Times New Roman" w:hAnsi="Times New Roman" w:cs="Times New Roman"/>
          <w:sz w:val="22"/>
          <w:szCs w:val="22"/>
        </w:rPr>
        <w:t>re 87 and 36 for the 20- and 100-</w:t>
      </w:r>
      <w:r w:rsidRPr="0044342D">
        <w:rPr>
          <w:rFonts w:ascii="Times New Roman" w:hAnsi="Times New Roman" w:cs="Times New Roman"/>
          <w:sz w:val="22"/>
          <w:szCs w:val="22"/>
        </w:rPr>
        <w:t>year time horizons, respectively.</w:t>
      </w:r>
    </w:p>
    <w:p w:rsidR="00230F3E" w:rsidRDefault="007A4F8A"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ab/>
        <w:t>Metrics for SLCPs other than m</w:t>
      </w:r>
      <w:r w:rsidR="00432301" w:rsidRPr="0044342D">
        <w:rPr>
          <w:rFonts w:ascii="Times New Roman" w:hAnsi="Times New Roman" w:cs="Times New Roman"/>
          <w:sz w:val="22"/>
          <w:szCs w:val="22"/>
        </w:rPr>
        <w:t>ethane are also discussed, with</w:t>
      </w:r>
      <w:r w:rsidR="00C61190" w:rsidRPr="0044342D">
        <w:rPr>
          <w:rFonts w:ascii="Times New Roman" w:hAnsi="Times New Roman" w:cs="Times New Roman"/>
          <w:sz w:val="22"/>
          <w:szCs w:val="22"/>
        </w:rPr>
        <w:t xml:space="preserve"> the difficulty in determining metric values for emissions from different locations </w:t>
      </w:r>
      <w:r w:rsidR="00DF7F2C" w:rsidRPr="0044342D">
        <w:rPr>
          <w:rFonts w:ascii="Times New Roman" w:hAnsi="Times New Roman" w:cs="Times New Roman"/>
          <w:sz w:val="22"/>
          <w:szCs w:val="22"/>
        </w:rPr>
        <w:t>noted;</w:t>
      </w:r>
      <w:r w:rsidR="00C61190" w:rsidRPr="0044342D">
        <w:rPr>
          <w:rFonts w:ascii="Times New Roman" w:hAnsi="Times New Roman" w:cs="Times New Roman"/>
          <w:sz w:val="22"/>
          <w:szCs w:val="22"/>
        </w:rPr>
        <w:t xml:space="preserve"> e.g. for BC “</w:t>
      </w:r>
      <w:r w:rsidR="00C61190" w:rsidRPr="0044342D">
        <w:rPr>
          <w:rFonts w:ascii="Times New Roman" w:hAnsi="Times New Roman" w:cs="Times New Roman"/>
          <w:color w:val="000000"/>
          <w:sz w:val="22"/>
          <w:szCs w:val="22"/>
        </w:rPr>
        <w:t>there is not a robust relationship between the region of emission and the metric value</w:t>
      </w:r>
      <w:r w:rsidR="00C61190" w:rsidRPr="0044342D">
        <w:rPr>
          <w:rFonts w:ascii="Times New Roman" w:hAnsi="Times New Roman" w:cs="Times New Roman"/>
          <w:sz w:val="22"/>
          <w:szCs w:val="22"/>
        </w:rPr>
        <w:t>”.</w:t>
      </w:r>
      <w:r w:rsidR="00C41E85" w:rsidRPr="0044342D">
        <w:rPr>
          <w:rFonts w:ascii="Times New Roman" w:hAnsi="Times New Roman" w:cs="Times New Roman"/>
          <w:sz w:val="22"/>
          <w:szCs w:val="22"/>
        </w:rPr>
        <w:t xml:space="preserve"> </w:t>
      </w:r>
      <w:r w:rsidR="00B92150" w:rsidRPr="0044342D">
        <w:rPr>
          <w:rFonts w:ascii="Times New Roman" w:hAnsi="Times New Roman" w:cs="Times New Roman"/>
          <w:sz w:val="22"/>
          <w:szCs w:val="22"/>
        </w:rPr>
        <w:t xml:space="preserve">A general conclusion on metrics </w:t>
      </w:r>
      <w:r w:rsidR="00DF7F2C" w:rsidRPr="0044342D">
        <w:rPr>
          <w:rFonts w:ascii="Times New Roman" w:hAnsi="Times New Roman" w:cs="Times New Roman"/>
          <w:sz w:val="22"/>
          <w:szCs w:val="22"/>
        </w:rPr>
        <w:t xml:space="preserve">in AR5 </w:t>
      </w:r>
      <w:r w:rsidR="00B92150" w:rsidRPr="0044342D">
        <w:rPr>
          <w:rFonts w:ascii="Times New Roman" w:hAnsi="Times New Roman" w:cs="Times New Roman"/>
          <w:sz w:val="22"/>
          <w:szCs w:val="22"/>
        </w:rPr>
        <w:t xml:space="preserve">is that </w:t>
      </w:r>
    </w:p>
    <w:p w:rsidR="00230F3E" w:rsidRDefault="00230F3E" w:rsidP="0044342D">
      <w:pPr>
        <w:spacing w:line="276" w:lineRule="auto"/>
        <w:rPr>
          <w:rFonts w:ascii="Times New Roman" w:hAnsi="Times New Roman" w:cs="Times New Roman"/>
          <w:sz w:val="22"/>
          <w:szCs w:val="22"/>
        </w:rPr>
      </w:pPr>
    </w:p>
    <w:p w:rsidR="00DF7F2C" w:rsidRPr="0044342D" w:rsidRDefault="00B92150" w:rsidP="0044342D">
      <w:pPr>
        <w:spacing w:line="276" w:lineRule="auto"/>
        <w:rPr>
          <w:rFonts w:ascii="Times New Roman" w:hAnsi="Times New Roman" w:cs="Times New Roman"/>
          <w:sz w:val="22"/>
          <w:szCs w:val="22"/>
        </w:rPr>
      </w:pPr>
      <w:r w:rsidRPr="0044342D">
        <w:rPr>
          <w:rFonts w:ascii="Times New Roman" w:hAnsi="Times New Roman" w:cs="Times New Roman"/>
          <w:sz w:val="22"/>
          <w:szCs w:val="22"/>
        </w:rPr>
        <w:t>“</w:t>
      </w:r>
      <w:r w:rsidRPr="0044342D">
        <w:rPr>
          <w:rFonts w:ascii="Times New Roman" w:hAnsi="Times New Roman" w:cs="Times New Roman"/>
          <w:color w:val="000000"/>
          <w:sz w:val="22"/>
          <w:szCs w:val="22"/>
        </w:rPr>
        <w:t>The confidence level is lower for many of the NTCF compared to WMGHG and much lower where aerosol–cloud interac</w:t>
      </w:r>
      <w:r w:rsidRPr="0044342D">
        <w:rPr>
          <w:rFonts w:ascii="Times New Roman" w:hAnsi="Times New Roman" w:cs="Times New Roman"/>
          <w:color w:val="000000"/>
          <w:sz w:val="22"/>
          <w:szCs w:val="22"/>
        </w:rPr>
        <w:softHyphen/>
        <w:t xml:space="preserve">tions are important </w:t>
      </w:r>
      <w:r w:rsidRPr="0044342D">
        <w:rPr>
          <w:rFonts w:ascii="Times New Roman" w:hAnsi="Times New Roman" w:cs="Times New Roman"/>
          <w:sz w:val="22"/>
          <w:szCs w:val="22"/>
        </w:rPr>
        <w:t xml:space="preserve">”. Nonetheless, tables of quantitative values for SLCPs are included, though </w:t>
      </w:r>
      <w:r w:rsidR="00DF7F2C" w:rsidRPr="0044342D">
        <w:rPr>
          <w:rFonts w:ascii="Times New Roman" w:hAnsi="Times New Roman" w:cs="Times New Roman"/>
          <w:sz w:val="22"/>
          <w:szCs w:val="22"/>
        </w:rPr>
        <w:t xml:space="preserve">these typically exclude aerosol indirect effects and </w:t>
      </w:r>
      <w:r w:rsidRPr="0044342D">
        <w:rPr>
          <w:rFonts w:ascii="Times New Roman" w:hAnsi="Times New Roman" w:cs="Times New Roman"/>
          <w:sz w:val="22"/>
          <w:szCs w:val="22"/>
        </w:rPr>
        <w:t>a best estimate is not given other than for methane</w:t>
      </w:r>
      <w:r w:rsidR="007E46EB" w:rsidRPr="0044342D">
        <w:rPr>
          <w:rFonts w:ascii="Times New Roman" w:hAnsi="Times New Roman" w:cs="Times New Roman"/>
          <w:sz w:val="22"/>
          <w:szCs w:val="22"/>
        </w:rPr>
        <w:t xml:space="preserve"> and HFCs</w:t>
      </w:r>
      <w:r w:rsidRPr="0044342D">
        <w:rPr>
          <w:rFonts w:ascii="Times New Roman" w:hAnsi="Times New Roman" w:cs="Times New Roman"/>
          <w:sz w:val="22"/>
          <w:szCs w:val="22"/>
        </w:rPr>
        <w:t>.</w:t>
      </w:r>
    </w:p>
    <w:p w:rsidR="0099023E" w:rsidRPr="0044342D" w:rsidRDefault="003A4142" w:rsidP="0044342D">
      <w:pPr>
        <w:widowControl w:val="0"/>
        <w:autoSpaceDE w:val="0"/>
        <w:autoSpaceDN w:val="0"/>
        <w:adjustRightInd w:val="0"/>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Turning to climate change projections, the AR5 highlights the difficulty in forecasting emissions. In particular, it notes that “The effects of aerosols have a regional nature and are thus dependent on the future sources of pollution which are likely to vary geographically in the future and be difficult to predict”. Referring to the emissions scenarios from recent Integrated Assessment Models that are the primary source of scenarios for IPCC, the AR5 points out that “</w:t>
      </w:r>
      <w:r w:rsidRPr="0044342D">
        <w:rPr>
          <w:rFonts w:ascii="Times New Roman" w:hAnsi="Times New Roman" w:cs="Times New Roman"/>
          <w:color w:val="000000"/>
          <w:sz w:val="22"/>
          <w:szCs w:val="22"/>
        </w:rPr>
        <w:t xml:space="preserve">The scenarios emphasized in this assessment … </w:t>
      </w:r>
      <w:r w:rsidRPr="0044342D">
        <w:rPr>
          <w:rFonts w:ascii="Times New Roman" w:hAnsi="Times New Roman" w:cs="Times New Roman"/>
          <w:sz w:val="22"/>
          <w:szCs w:val="22"/>
        </w:rPr>
        <w:t>all assume a continuation of current trends in air pollution policies and thus do not cover the range of future pollutant emissions found in the literature, specifically those with higher pollutant emissions”. This leads to very similar SLCP projections (other than methane) in all the scenarios. For example, the range in SO</w:t>
      </w:r>
      <w:r w:rsidRPr="0044342D">
        <w:rPr>
          <w:rFonts w:ascii="Times New Roman" w:hAnsi="Times New Roman" w:cs="Times New Roman"/>
          <w:sz w:val="22"/>
          <w:szCs w:val="22"/>
          <w:vertAlign w:val="subscript"/>
        </w:rPr>
        <w:t>2</w:t>
      </w:r>
      <w:r w:rsidRPr="0044342D">
        <w:rPr>
          <w:rFonts w:ascii="Times New Roman" w:hAnsi="Times New Roman" w:cs="Times New Roman"/>
          <w:sz w:val="22"/>
          <w:szCs w:val="22"/>
        </w:rPr>
        <w:t xml:space="preserve"> emissions across the scenarios is 17% at 2030, while it is 60% between previously published ‘current legislation’ and ‘maximum feasible reduction’ scenarios (Section 11.3). This assessment thus indicates that great care should be used in interpreting the impacts of emissions mitigation based on the particular reference scenario with which the mitigation policy is being compared.</w:t>
      </w:r>
    </w:p>
    <w:p w:rsidR="00130BB0" w:rsidRPr="0044342D" w:rsidRDefault="00130BB0" w:rsidP="0044342D">
      <w:pPr>
        <w:widowControl w:val="0"/>
        <w:autoSpaceDE w:val="0"/>
        <w:autoSpaceDN w:val="0"/>
        <w:adjustRightInd w:val="0"/>
        <w:spacing w:line="276" w:lineRule="auto"/>
        <w:ind w:firstLine="720"/>
        <w:rPr>
          <w:rFonts w:ascii="Times New Roman" w:hAnsi="Times New Roman" w:cs="Times New Roman"/>
          <w:sz w:val="22"/>
          <w:szCs w:val="22"/>
        </w:rPr>
      </w:pPr>
      <w:r w:rsidRPr="0044342D">
        <w:rPr>
          <w:rFonts w:ascii="Times New Roman" w:hAnsi="Times New Roman" w:cs="Times New Roman"/>
          <w:sz w:val="22"/>
          <w:szCs w:val="22"/>
        </w:rPr>
        <w:t>The influence of the spatially inhomogeneous RF from SLCPs is discus</w:t>
      </w:r>
      <w:r w:rsidR="00047221" w:rsidRPr="0044342D">
        <w:rPr>
          <w:rFonts w:ascii="Times New Roman" w:hAnsi="Times New Roman" w:cs="Times New Roman"/>
          <w:sz w:val="22"/>
          <w:szCs w:val="22"/>
        </w:rPr>
        <w:t>sed fairly extensively in AR5 (S</w:t>
      </w:r>
      <w:r w:rsidRPr="0044342D">
        <w:rPr>
          <w:rFonts w:ascii="Times New Roman" w:hAnsi="Times New Roman" w:cs="Times New Roman"/>
          <w:sz w:val="22"/>
          <w:szCs w:val="22"/>
        </w:rPr>
        <w:t>ection 8.6), which examines a substantial body of new work since AR4. AR5 concludes that work linking particular climate responses to the RF pattern is still in it early stages, but that there is confidence in several “</w:t>
      </w:r>
      <w:r w:rsidRPr="0044342D">
        <w:rPr>
          <w:rFonts w:ascii="Times New Roman" w:hAnsi="Times New Roman" w:cs="Times New Roman"/>
          <w:color w:val="000000"/>
          <w:sz w:val="22"/>
          <w:szCs w:val="22"/>
        </w:rPr>
        <w:t>qualitative but robust features, such as the damped warming of the NH and shifting of [tropical rainfall] from aerosols</w:t>
      </w:r>
      <w:r w:rsidR="00DF7F2C" w:rsidRPr="0044342D">
        <w:rPr>
          <w:rFonts w:ascii="Times New Roman" w:hAnsi="Times New Roman" w:cs="Times New Roman"/>
          <w:sz w:val="22"/>
          <w:szCs w:val="22"/>
        </w:rPr>
        <w:t>”.</w:t>
      </w:r>
    </w:p>
    <w:p w:rsidR="00F346C4" w:rsidRPr="0044342D" w:rsidRDefault="0099023E" w:rsidP="0044342D">
      <w:pPr>
        <w:widowControl w:val="0"/>
        <w:autoSpaceDE w:val="0"/>
        <w:autoSpaceDN w:val="0"/>
        <w:adjustRightInd w:val="0"/>
        <w:spacing w:line="276" w:lineRule="auto"/>
        <w:rPr>
          <w:rFonts w:ascii="Times New Roman" w:hAnsi="Times New Roman" w:cs="Times New Roman"/>
          <w:sz w:val="22"/>
          <w:szCs w:val="22"/>
        </w:rPr>
      </w:pPr>
      <w:r w:rsidRPr="0044342D">
        <w:rPr>
          <w:rFonts w:ascii="Times New Roman" w:hAnsi="Times New Roman" w:cs="Times New Roman"/>
          <w:sz w:val="22"/>
          <w:szCs w:val="22"/>
        </w:rPr>
        <w:tab/>
      </w:r>
      <w:r w:rsidR="006B6D9E" w:rsidRPr="0044342D">
        <w:rPr>
          <w:rFonts w:ascii="Times New Roman" w:hAnsi="Times New Roman" w:cs="Times New Roman"/>
          <w:sz w:val="22"/>
          <w:szCs w:val="22"/>
        </w:rPr>
        <w:t xml:space="preserve">While Working Group III will examine mitigation option in detail, Working Group I </w:t>
      </w:r>
      <w:r w:rsidR="00764215" w:rsidRPr="0044342D">
        <w:rPr>
          <w:rFonts w:ascii="Times New Roman" w:hAnsi="Times New Roman" w:cs="Times New Roman"/>
          <w:sz w:val="22"/>
          <w:szCs w:val="22"/>
        </w:rPr>
        <w:t xml:space="preserve">presents an analysis of the effect of current emissions by </w:t>
      </w:r>
      <w:r w:rsidR="00F5263A" w:rsidRPr="0044342D">
        <w:rPr>
          <w:rFonts w:ascii="Times New Roman" w:hAnsi="Times New Roman" w:cs="Times New Roman"/>
          <w:sz w:val="22"/>
          <w:szCs w:val="22"/>
        </w:rPr>
        <w:t xml:space="preserve">pollutant and by </w:t>
      </w:r>
      <w:r w:rsidR="00764215" w:rsidRPr="0044342D">
        <w:rPr>
          <w:rFonts w:ascii="Times New Roman" w:hAnsi="Times New Roman" w:cs="Times New Roman"/>
          <w:sz w:val="22"/>
          <w:szCs w:val="22"/>
        </w:rPr>
        <w:t>sector</w:t>
      </w:r>
      <w:r w:rsidR="00032E90" w:rsidRPr="0044342D">
        <w:rPr>
          <w:rFonts w:ascii="Times New Roman" w:hAnsi="Times New Roman" w:cs="Times New Roman"/>
          <w:sz w:val="22"/>
          <w:szCs w:val="22"/>
        </w:rPr>
        <w:t xml:space="preserve"> (Section 8.7)</w:t>
      </w:r>
      <w:r w:rsidR="00764215" w:rsidRPr="0044342D">
        <w:rPr>
          <w:rFonts w:ascii="Times New Roman" w:hAnsi="Times New Roman" w:cs="Times New Roman"/>
          <w:sz w:val="22"/>
          <w:szCs w:val="22"/>
        </w:rPr>
        <w:t xml:space="preserve">. </w:t>
      </w:r>
      <w:r w:rsidR="00F5263A" w:rsidRPr="0044342D">
        <w:rPr>
          <w:rFonts w:ascii="Times New Roman" w:hAnsi="Times New Roman" w:cs="Times New Roman"/>
          <w:sz w:val="22"/>
          <w:szCs w:val="22"/>
        </w:rPr>
        <w:t>These perspectives are adopted to provide more policy-relevant information than analysis of forcing due to concentration changes (as highlighted, e.g., in AR4) since it is emissions rather than concentrations that can be directly addressed by policy, while the analysis by sectors acknowledges that activities often emit multiple pollutants. AR5</w:t>
      </w:r>
      <w:r w:rsidR="00764215" w:rsidRPr="0044342D">
        <w:rPr>
          <w:rFonts w:ascii="Times New Roman" w:hAnsi="Times New Roman" w:cs="Times New Roman"/>
          <w:sz w:val="22"/>
          <w:szCs w:val="22"/>
        </w:rPr>
        <w:t xml:space="preserve"> finds that</w:t>
      </w:r>
      <w:r w:rsidRPr="0044342D">
        <w:rPr>
          <w:rFonts w:ascii="Times New Roman" w:hAnsi="Times New Roman" w:cs="Times New Roman"/>
          <w:sz w:val="22"/>
          <w:szCs w:val="22"/>
        </w:rPr>
        <w:t xml:space="preserve"> </w:t>
      </w:r>
      <w:r w:rsidR="00764215" w:rsidRPr="0044342D">
        <w:rPr>
          <w:rFonts w:ascii="Times New Roman" w:hAnsi="Times New Roman" w:cs="Times New Roman"/>
          <w:sz w:val="22"/>
          <w:szCs w:val="22"/>
        </w:rPr>
        <w:t>“</w:t>
      </w:r>
      <w:r w:rsidR="00764215" w:rsidRPr="0044342D">
        <w:rPr>
          <w:rFonts w:ascii="Times New Roman" w:hAnsi="Times New Roman" w:cs="Times New Roman"/>
          <w:color w:val="000000"/>
          <w:sz w:val="22"/>
          <w:szCs w:val="22"/>
        </w:rPr>
        <w:t>A single year’s worth of current global emissions from the energy and industrial sectors have the largest contribut</w:t>
      </w:r>
      <w:r w:rsidR="00DF3EC7" w:rsidRPr="0044342D">
        <w:rPr>
          <w:rFonts w:ascii="Times New Roman" w:hAnsi="Times New Roman" w:cs="Times New Roman"/>
          <w:color w:val="000000"/>
          <w:sz w:val="22"/>
          <w:szCs w:val="22"/>
        </w:rPr>
        <w:t>ions to warming after 100 years</w:t>
      </w:r>
      <w:r w:rsidR="00764215" w:rsidRPr="0044342D">
        <w:rPr>
          <w:rFonts w:ascii="Times New Roman" w:hAnsi="Times New Roman" w:cs="Times New Roman"/>
          <w:color w:val="000000"/>
          <w:sz w:val="22"/>
          <w:szCs w:val="22"/>
        </w:rPr>
        <w:t>. Household fossil fuel and biofuel, biomass burning and on-road transportation are also relatively large contribu</w:t>
      </w:r>
      <w:r w:rsidR="00764215" w:rsidRPr="0044342D">
        <w:rPr>
          <w:rFonts w:ascii="Times New Roman" w:hAnsi="Times New Roman" w:cs="Times New Roman"/>
          <w:color w:val="000000"/>
          <w:sz w:val="22"/>
          <w:szCs w:val="22"/>
        </w:rPr>
        <w:softHyphen/>
        <w:t xml:space="preserve">tors to warming over 100-year time scales. Those same sectors, along with sectors that emit large amounts of </w:t>
      </w:r>
      <w:r w:rsidR="00440B06" w:rsidRPr="0044342D">
        <w:rPr>
          <w:rFonts w:ascii="Times New Roman" w:hAnsi="Times New Roman" w:cs="Times New Roman"/>
          <w:color w:val="000000"/>
          <w:sz w:val="22"/>
          <w:szCs w:val="22"/>
        </w:rPr>
        <w:t xml:space="preserve">methane </w:t>
      </w:r>
      <w:r w:rsidR="00DF3EC7" w:rsidRPr="0044342D">
        <w:rPr>
          <w:rFonts w:ascii="Times New Roman" w:hAnsi="Times New Roman" w:cs="Times New Roman"/>
          <w:color w:val="000000"/>
          <w:sz w:val="22"/>
          <w:szCs w:val="22"/>
        </w:rPr>
        <w:t>(animal husbandry, waste/</w:t>
      </w:r>
      <w:r w:rsidR="00764215" w:rsidRPr="0044342D">
        <w:rPr>
          <w:rFonts w:ascii="Times New Roman" w:hAnsi="Times New Roman" w:cs="Times New Roman"/>
          <w:color w:val="000000"/>
          <w:sz w:val="22"/>
          <w:szCs w:val="22"/>
        </w:rPr>
        <w:t>landfills and agriculture), are most important over shorter time hori</w:t>
      </w:r>
      <w:r w:rsidR="00764215" w:rsidRPr="0044342D">
        <w:rPr>
          <w:rFonts w:ascii="Times New Roman" w:hAnsi="Times New Roman" w:cs="Times New Roman"/>
          <w:color w:val="000000"/>
          <w:sz w:val="22"/>
          <w:szCs w:val="22"/>
        </w:rPr>
        <w:softHyphen/>
        <w:t>zons (about 20 years)”</w:t>
      </w:r>
      <w:r w:rsidR="00FD58C1" w:rsidRPr="0044342D">
        <w:rPr>
          <w:rFonts w:ascii="Times New Roman" w:hAnsi="Times New Roman" w:cs="Times New Roman"/>
          <w:color w:val="000000"/>
          <w:sz w:val="22"/>
          <w:szCs w:val="22"/>
        </w:rPr>
        <w:t xml:space="preserve"> (see Figures)</w:t>
      </w:r>
      <w:r w:rsidR="00764215" w:rsidRPr="0044342D">
        <w:rPr>
          <w:rFonts w:ascii="Times New Roman" w:hAnsi="Times New Roman" w:cs="Times New Roman"/>
          <w:color w:val="000000"/>
          <w:sz w:val="22"/>
          <w:szCs w:val="22"/>
        </w:rPr>
        <w:t>.</w:t>
      </w:r>
      <w:r w:rsidR="00DF3EC7" w:rsidRPr="0044342D">
        <w:rPr>
          <w:rFonts w:ascii="Times New Roman" w:hAnsi="Times New Roman" w:cs="Times New Roman"/>
          <w:color w:val="000000"/>
          <w:sz w:val="22"/>
          <w:szCs w:val="22"/>
        </w:rPr>
        <w:t xml:space="preserve"> </w:t>
      </w:r>
      <w:r w:rsidR="00084349" w:rsidRPr="0044342D">
        <w:rPr>
          <w:rFonts w:ascii="Times New Roman" w:hAnsi="Times New Roman" w:cs="Times New Roman"/>
          <w:sz w:val="22"/>
          <w:szCs w:val="22"/>
        </w:rPr>
        <w:t>The AR5 notes, however, that for some sectors that emit multiple pollutants the “</w:t>
      </w:r>
      <w:r w:rsidR="00084349" w:rsidRPr="0044342D">
        <w:rPr>
          <w:rFonts w:ascii="Times New Roman" w:hAnsi="Times New Roman" w:cs="Times New Roman"/>
          <w:color w:val="000000"/>
          <w:sz w:val="22"/>
          <w:szCs w:val="22"/>
        </w:rPr>
        <w:t>combined climate impact can be difficult to ascertain</w:t>
      </w:r>
      <w:r w:rsidR="00084349" w:rsidRPr="0044342D">
        <w:rPr>
          <w:rFonts w:ascii="Times New Roman" w:hAnsi="Times New Roman" w:cs="Times New Roman"/>
          <w:sz w:val="22"/>
          <w:szCs w:val="22"/>
        </w:rPr>
        <w:t>”.</w:t>
      </w:r>
    </w:p>
    <w:p w:rsidR="00737355" w:rsidRPr="0044342D" w:rsidRDefault="00F346C4" w:rsidP="0044342D">
      <w:pPr>
        <w:widowControl w:val="0"/>
        <w:autoSpaceDE w:val="0"/>
        <w:autoSpaceDN w:val="0"/>
        <w:adjustRightInd w:val="0"/>
        <w:spacing w:line="276" w:lineRule="auto"/>
        <w:ind w:firstLine="720"/>
        <w:rPr>
          <w:rFonts w:ascii="Times New Roman" w:hAnsi="Times New Roman" w:cs="Times New Roman"/>
          <w:color w:val="000000"/>
          <w:sz w:val="22"/>
          <w:szCs w:val="22"/>
        </w:rPr>
      </w:pPr>
      <w:r w:rsidRPr="0044342D">
        <w:rPr>
          <w:rFonts w:ascii="Times New Roman" w:hAnsi="Times New Roman" w:cs="Times New Roman"/>
          <w:sz w:val="22"/>
          <w:szCs w:val="22"/>
        </w:rPr>
        <w:t xml:space="preserve">The varying temperature response through time highlights the limitations of focusing solely on a value such as the preindustrial to present-day forcing. </w:t>
      </w:r>
      <w:r w:rsidR="00FD58C1" w:rsidRPr="0044342D">
        <w:rPr>
          <w:rFonts w:ascii="Times New Roman" w:hAnsi="Times New Roman" w:cs="Times New Roman"/>
          <w:sz w:val="22"/>
          <w:szCs w:val="22"/>
        </w:rPr>
        <w:t>It is also clear that the impact of sustained emissions changes can be quite different from a short-term emis</w:t>
      </w:r>
      <w:r w:rsidR="00BE646B" w:rsidRPr="0044342D">
        <w:rPr>
          <w:rFonts w:ascii="Times New Roman" w:hAnsi="Times New Roman" w:cs="Times New Roman"/>
          <w:sz w:val="22"/>
          <w:szCs w:val="22"/>
        </w:rPr>
        <w:t>sion change (see Figure 2</w:t>
      </w:r>
      <w:r w:rsidR="00FD58C1" w:rsidRPr="0044342D">
        <w:rPr>
          <w:rFonts w:ascii="Times New Roman" w:hAnsi="Times New Roman" w:cs="Times New Roman"/>
          <w:sz w:val="22"/>
          <w:szCs w:val="22"/>
        </w:rPr>
        <w:t xml:space="preserve">), so that analysis of the effects of emissions mitigation is quite sensitive to the assumed reference emissions in absence of mitigation (a topic that will be explored further in WGIII). </w:t>
      </w:r>
      <w:r w:rsidR="00F359F0" w:rsidRPr="0044342D">
        <w:rPr>
          <w:rFonts w:ascii="Times New Roman" w:hAnsi="Times New Roman" w:cs="Times New Roman"/>
          <w:color w:val="000000"/>
          <w:sz w:val="22"/>
          <w:szCs w:val="22"/>
        </w:rPr>
        <w:t>Particular attention is also called to the role of methane in future air quality, for example in the conclusion that “</w:t>
      </w:r>
      <w:r w:rsidR="00F359F0" w:rsidRPr="0044342D">
        <w:rPr>
          <w:rFonts w:ascii="Times New Roman" w:hAnsi="Times New Roman" w:cs="Times New Roman"/>
          <w:sz w:val="22"/>
          <w:szCs w:val="22"/>
        </w:rPr>
        <w:t>By 2100, surfac</w:t>
      </w:r>
      <w:r w:rsidR="00BE646B" w:rsidRPr="0044342D">
        <w:rPr>
          <w:rFonts w:ascii="Times New Roman" w:hAnsi="Times New Roman" w:cs="Times New Roman"/>
          <w:sz w:val="22"/>
          <w:szCs w:val="22"/>
        </w:rPr>
        <w:t>e ozone increases by about 8 parts per billion</w:t>
      </w:r>
      <w:r w:rsidR="00F359F0" w:rsidRPr="0044342D">
        <w:rPr>
          <w:rFonts w:ascii="Times New Roman" w:hAnsi="Times New Roman" w:cs="Times New Roman"/>
          <w:sz w:val="22"/>
          <w:szCs w:val="22"/>
        </w:rPr>
        <w:t xml:space="preserve"> globally in the doubled-methane scenario (RCP8.5) relative to the stable-methane pathways (RCP4.5/6.0; high confidence).</w:t>
      </w:r>
      <w:r w:rsidR="00F359F0" w:rsidRPr="0044342D">
        <w:rPr>
          <w:rFonts w:ascii="Times New Roman" w:hAnsi="Times New Roman" w:cs="Times New Roman"/>
          <w:color w:val="000000"/>
          <w:sz w:val="22"/>
          <w:szCs w:val="22"/>
        </w:rPr>
        <w:t>” (Section 11.3).</w:t>
      </w:r>
    </w:p>
    <w:p w:rsidR="00FD0131" w:rsidRPr="0044342D" w:rsidRDefault="00737355" w:rsidP="0044342D">
      <w:pPr>
        <w:widowControl w:val="0"/>
        <w:autoSpaceDE w:val="0"/>
        <w:autoSpaceDN w:val="0"/>
        <w:adjustRightInd w:val="0"/>
        <w:spacing w:line="276" w:lineRule="auto"/>
        <w:ind w:firstLine="720"/>
        <w:rPr>
          <w:rFonts w:ascii="Times New Roman" w:hAnsi="Times New Roman" w:cs="Times New Roman"/>
          <w:color w:val="000000"/>
          <w:sz w:val="22"/>
          <w:szCs w:val="22"/>
        </w:rPr>
      </w:pPr>
      <w:r w:rsidRPr="0044342D">
        <w:rPr>
          <w:rFonts w:ascii="Times New Roman" w:hAnsi="Times New Roman" w:cs="Times New Roman"/>
          <w:color w:val="000000"/>
          <w:sz w:val="22"/>
          <w:szCs w:val="22"/>
        </w:rPr>
        <w:t>This briefing on the results of Working Group I will be complemented by summaries of the SLCP-related results of WGII and WGIII after their release.</w:t>
      </w:r>
    </w:p>
    <w:p w:rsidR="00562E85" w:rsidRPr="0044342D" w:rsidRDefault="004E4D62" w:rsidP="0044342D">
      <w:pPr>
        <w:widowControl w:val="0"/>
        <w:autoSpaceDE w:val="0"/>
        <w:autoSpaceDN w:val="0"/>
        <w:adjustRightInd w:val="0"/>
        <w:spacing w:line="276" w:lineRule="auto"/>
        <w:rPr>
          <w:rFonts w:ascii="Times New Roman" w:hAnsi="Times New Roman" w:cs="Times New Roman"/>
        </w:rPr>
      </w:pPr>
      <w:r w:rsidRPr="0044342D">
        <w:rPr>
          <w:rFonts w:ascii="Times New Roman" w:hAnsi="Times New Roman" w:cs="Times New Roman"/>
          <w:noProof/>
        </w:rPr>
        <w:drawing>
          <wp:inline distT="0" distB="0" distL="0" distR="0">
            <wp:extent cx="5419725" cy="3741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b="13827"/>
                    <a:stretch>
                      <a:fillRect/>
                    </a:stretch>
                  </pic:blipFill>
                  <pic:spPr bwMode="auto">
                    <a:xfrm>
                      <a:off x="0" y="0"/>
                      <a:ext cx="5448394" cy="3761601"/>
                    </a:xfrm>
                    <a:prstGeom prst="rect">
                      <a:avLst/>
                    </a:prstGeom>
                    <a:noFill/>
                    <a:ln w="9525">
                      <a:noFill/>
                      <a:miter lim="800000"/>
                      <a:headEnd/>
                      <a:tailEnd/>
                    </a:ln>
                  </pic:spPr>
                </pic:pic>
              </a:graphicData>
            </a:graphic>
          </wp:inline>
        </w:drawing>
      </w:r>
      <w:r w:rsidRPr="0044342D">
        <w:rPr>
          <w:rFonts w:ascii="Times New Roman" w:hAnsi="Times New Roman" w:cs="Times New Roman"/>
          <w:noProof/>
        </w:rPr>
        <w:drawing>
          <wp:inline distT="0" distB="0" distL="0" distR="0">
            <wp:extent cx="5744333"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b="12594"/>
                    <a:stretch>
                      <a:fillRect/>
                    </a:stretch>
                  </pic:blipFill>
                  <pic:spPr bwMode="auto">
                    <a:xfrm>
                      <a:off x="0" y="0"/>
                      <a:ext cx="5753520" cy="3892415"/>
                    </a:xfrm>
                    <a:prstGeom prst="rect">
                      <a:avLst/>
                    </a:prstGeom>
                    <a:noFill/>
                    <a:ln w="9525">
                      <a:noFill/>
                      <a:miter lim="800000"/>
                      <a:headEnd/>
                      <a:tailEnd/>
                    </a:ln>
                  </pic:spPr>
                </pic:pic>
              </a:graphicData>
            </a:graphic>
          </wp:inline>
        </w:drawing>
      </w:r>
    </w:p>
    <w:p w:rsidR="00A94502" w:rsidRDefault="00562E85" w:rsidP="0044342D">
      <w:pPr>
        <w:widowControl w:val="0"/>
        <w:autoSpaceDE w:val="0"/>
        <w:autoSpaceDN w:val="0"/>
        <w:adjustRightInd w:val="0"/>
        <w:rPr>
          <w:rFonts w:ascii="Times New Roman" w:hAnsi="Times New Roman" w:cs="Times New Roman"/>
          <w:sz w:val="20"/>
          <w:szCs w:val="20"/>
        </w:rPr>
        <w:sectPr w:rsidR="00A94502" w:rsidSect="0044342D">
          <w:headerReference w:type="default" r:id="rId11"/>
          <w:footerReference w:type="default" r:id="rId12"/>
          <w:pgSz w:w="12240" w:h="15840"/>
          <w:pgMar w:top="1440" w:right="1440" w:bottom="1440" w:left="1440" w:header="720" w:footer="720" w:gutter="0"/>
          <w:cols w:space="720"/>
          <w:docGrid w:linePitch="326"/>
        </w:sectPr>
      </w:pPr>
      <w:r w:rsidRPr="0044342D">
        <w:rPr>
          <w:rFonts w:ascii="Times New Roman" w:hAnsi="Times New Roman" w:cs="Times New Roman"/>
          <w:b/>
          <w:sz w:val="20"/>
          <w:szCs w:val="20"/>
        </w:rPr>
        <w:t xml:space="preserve">Figure </w:t>
      </w:r>
      <w:r w:rsidR="006B7F5A" w:rsidRPr="0044342D">
        <w:rPr>
          <w:rFonts w:ascii="Times New Roman" w:hAnsi="Times New Roman" w:cs="Times New Roman"/>
          <w:b/>
          <w:sz w:val="20"/>
          <w:szCs w:val="20"/>
        </w:rPr>
        <w:t>2</w:t>
      </w:r>
      <w:r w:rsidR="006B7F5A" w:rsidRPr="0044342D">
        <w:rPr>
          <w:rFonts w:ascii="Times New Roman" w:hAnsi="Times New Roman" w:cs="Times New Roman"/>
          <w:sz w:val="20"/>
          <w:szCs w:val="20"/>
        </w:rPr>
        <w:t xml:space="preserve">, </w:t>
      </w:r>
      <w:r w:rsidRPr="0044342D">
        <w:rPr>
          <w:rFonts w:ascii="Times New Roman" w:hAnsi="Times New Roman" w:cs="Times New Roman"/>
          <w:sz w:val="20"/>
          <w:szCs w:val="20"/>
        </w:rPr>
        <w:t>showing temperature impact of all current anthropogenic emissions in each sector in terms of the effect of a single year’s worth of emissions (a pulse, upper panel) or continuous present-day emissions (sustained, lower panel). Reproduced from IPCC AR5, Figures 8.SM.9 and 8.SM.10.</w:t>
      </w:r>
    </w:p>
    <w:p w:rsidR="00A94502" w:rsidRPr="00A94502" w:rsidRDefault="00A94502" w:rsidP="00A94502">
      <w:pPr>
        <w:spacing w:after="120" w:line="276" w:lineRule="auto"/>
        <w:rPr>
          <w:rFonts w:ascii="Times New Roman" w:hAnsi="Times New Roman" w:cs="Times New Roman"/>
          <w:b/>
          <w:smallCaps/>
          <w:sz w:val="28"/>
          <w:szCs w:val="28"/>
        </w:rPr>
      </w:pPr>
      <w:r w:rsidRPr="00A94502">
        <w:rPr>
          <w:rFonts w:ascii="Times New Roman" w:hAnsi="Times New Roman" w:cs="Times New Roman"/>
          <w:b/>
          <w:smallCaps/>
          <w:sz w:val="28"/>
          <w:szCs w:val="28"/>
        </w:rPr>
        <w:t>Glossary</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 xml:space="preserve">Aerosol </w:t>
      </w:r>
      <w:r w:rsidRPr="00A94502">
        <w:rPr>
          <w:rFonts w:ascii="Times New Roman" w:hAnsi="Times New Roman" w:cs="Times New Roman"/>
          <w:sz w:val="22"/>
          <w:szCs w:val="22"/>
        </w:rPr>
        <w:t>A suspension of airborne solid or liquid particles, with a typical size between a few nanometres and 10 μm that reside in the atmosphere for at least several hours. For convenience the term aerosol, which includes both the particles an</w:t>
      </w:r>
      <w:bookmarkStart w:id="0" w:name="_GoBack"/>
      <w:bookmarkEnd w:id="0"/>
      <w:r w:rsidRPr="00A94502">
        <w:rPr>
          <w:rFonts w:ascii="Times New Roman" w:hAnsi="Times New Roman" w:cs="Times New Roman"/>
          <w:sz w:val="22"/>
          <w:szCs w:val="22"/>
        </w:rPr>
        <w:t>d the suspending gas, is often used in this report in its plural form to mean aerosol particles. Aerosols may be of either natural or anthropogenic origin. Aerosols may influence climate in several ways: directly through scattering and absorbing radiation and indirectly by acting as cloud condensation nuclei or ice nuclei, modifying the optical properties and lifetime of clouds.</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Biomass</w:t>
      </w:r>
      <w:r w:rsidRPr="00A94502">
        <w:rPr>
          <w:rFonts w:ascii="Times New Roman" w:hAnsi="Times New Roman" w:cs="Times New Roman"/>
          <w:sz w:val="22"/>
          <w:szCs w:val="22"/>
        </w:rPr>
        <w:t xml:space="preserve"> The total mass of living organisms in a given area or volume; dead plant material can be included as dead biomass. Biomass burning is the burning of living and dead vegetation.</w:t>
      </w:r>
    </w:p>
    <w:p w:rsidR="00A94502" w:rsidRPr="00A94502" w:rsidRDefault="00A94502" w:rsidP="00A94502">
      <w:pPr>
        <w:spacing w:after="120" w:line="276" w:lineRule="auto"/>
        <w:rPr>
          <w:rFonts w:ascii="Times New Roman" w:hAnsi="Times New Roman" w:cs="Times New Roman"/>
          <w:b/>
          <w:sz w:val="22"/>
          <w:szCs w:val="22"/>
        </w:rPr>
      </w:pPr>
      <w:r w:rsidRPr="00A94502">
        <w:rPr>
          <w:rFonts w:ascii="Times New Roman" w:hAnsi="Times New Roman" w:cs="Times New Roman"/>
          <w:b/>
          <w:sz w:val="22"/>
          <w:szCs w:val="22"/>
        </w:rPr>
        <w:t>Black carbon (BC)</w:t>
      </w:r>
      <w:r w:rsidRPr="00A94502">
        <w:rPr>
          <w:rFonts w:ascii="Times New Roman" w:hAnsi="Times New Roman" w:cs="Times New Roman"/>
          <w:sz w:val="22"/>
          <w:szCs w:val="22"/>
        </w:rPr>
        <w:t xml:space="preserve"> Operationally defined aerosol species based on measurement of light absorption and chemical reactivity and/or thermal stability. It is sometimes referred to as soot</w:t>
      </w:r>
    </w:p>
    <w:p w:rsidR="00A94502" w:rsidRPr="00A94502" w:rsidRDefault="00A94502" w:rsidP="00A94502">
      <w:pPr>
        <w:autoSpaceDE w:val="0"/>
        <w:autoSpaceDN w:val="0"/>
        <w:adjustRightInd w:val="0"/>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 xml:space="preserve">Global Temperature change Potential (GTP) </w:t>
      </w:r>
      <w:r w:rsidRPr="00A94502">
        <w:rPr>
          <w:rFonts w:ascii="Times New Roman" w:hAnsi="Times New Roman" w:cs="Times New Roman"/>
          <w:sz w:val="22"/>
          <w:szCs w:val="22"/>
        </w:rPr>
        <w:t>The GTP is the ratio of change in global mean surface temperature at a chosen point in time from the substance of interest relative to that from CO</w:t>
      </w:r>
      <w:r w:rsidRPr="00A94502">
        <w:rPr>
          <w:rFonts w:ascii="Times New Roman" w:hAnsi="Times New Roman" w:cs="Times New Roman"/>
          <w:sz w:val="22"/>
          <w:szCs w:val="22"/>
          <w:vertAlign w:val="subscript"/>
        </w:rPr>
        <w:t>2</w:t>
      </w:r>
      <w:r w:rsidRPr="00A94502">
        <w:rPr>
          <w:rFonts w:ascii="Times New Roman" w:hAnsi="Times New Roman" w:cs="Times New Roman"/>
          <w:sz w:val="22"/>
          <w:szCs w:val="22"/>
        </w:rPr>
        <w:t xml:space="preserve"> and is defined as the change in global mean surface temperature at a chosen point in time in response to an emission pulse—relative to that of CO</w:t>
      </w:r>
      <w:r w:rsidRPr="00A94502">
        <w:rPr>
          <w:rFonts w:ascii="Times New Roman" w:hAnsi="Times New Roman" w:cs="Times New Roman"/>
          <w:sz w:val="22"/>
          <w:szCs w:val="22"/>
          <w:vertAlign w:val="subscript"/>
        </w:rPr>
        <w:t>2</w:t>
      </w:r>
      <w:r w:rsidRPr="00A94502">
        <w:rPr>
          <w:rFonts w:ascii="Times New Roman" w:hAnsi="Times New Roman" w:cs="Times New Roman"/>
          <w:sz w:val="22"/>
          <w:szCs w:val="22"/>
        </w:rPr>
        <w:t>.  Whereas GWP integrates the effects up to a chosen time horizon (i.e., giving equal weight to all times up to the horizon and zero weight thereafter), the GTP gives the temperature just for one chosen year with no weight on years before or after.</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Global Warming Potential (GWP)</w:t>
      </w:r>
      <w:r w:rsidRPr="00A94502">
        <w:rPr>
          <w:rFonts w:ascii="Times New Roman" w:hAnsi="Times New Roman" w:cs="Times New Roman"/>
          <w:sz w:val="22"/>
          <w:szCs w:val="22"/>
        </w:rPr>
        <w:t xml:space="preserve"> An index, based on radiative properties of greenhouse gases, measuring the radiative forcing following a pulse emission of a unit mass of a given greenhouse gas in the present day atmosphere integrated over a chosen time horizon, relative to that of carbon dioxide. The GWP represents the combined effect of the differing times these gases remain in the atmosphere and their relative effectiveness in causing radiative forcing. The Kyoto Protocol is based on GWPs from pulse emissions over a 100-year time frame.</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 xml:space="preserve">Halocarbons </w:t>
      </w:r>
      <w:r w:rsidRPr="00A94502">
        <w:rPr>
          <w:rFonts w:ascii="Times New Roman" w:hAnsi="Times New Roman" w:cs="Times New Roman"/>
          <w:sz w:val="22"/>
          <w:szCs w:val="22"/>
        </w:rPr>
        <w:t>A collective term for the group of partially halogenated organic species, which includes the chlorofluorocarbons (CFCs), hydrochlorofluorocarbons (HCFCs), hydrofluorocarbons (HFCs), halons, methyl chloride and methyl bromide. Many of the halocarbons have large Global Warming Potentials. The chlorine and bromine-containing halocarbons are also involved in the depletion of the ozone layer.</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 xml:space="preserve">Near-term climate forcers (NTCF) </w:t>
      </w:r>
      <w:r w:rsidRPr="00A94502">
        <w:rPr>
          <w:rFonts w:ascii="Times New Roman" w:hAnsi="Times New Roman" w:cs="Times New Roman"/>
          <w:sz w:val="22"/>
          <w:szCs w:val="22"/>
        </w:rPr>
        <w:t>NTCF refer to those compounds whose impact on climate occurs primarily within the first decade after their emission. This set of compounds is primarily composed of those with short lifetimes in the atmosphere compared to well-mixed greenhouse gases, and has been sometimes referred to as short lived climate forcers or short-lived climate pollutants (SLCP). However, the common property that is of greatest interest to a climate assessment is the timescale over which their impact on climate is felt, and hence they are referred to as NTCF in the IPCC AR5. This set of compounds includes methane, which is also a well-mixed greenhouse gas, as well as ozone and aerosols, or their precursors, and some halogenated species that are not well-mixed greenhouse gases. These compounds do not accumulate in the atmosphere at decadal to centennial timescales, and so their effect on climate is predominantly in the near term following their emission.</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Ozone</w:t>
      </w:r>
      <w:r w:rsidRPr="00A94502">
        <w:rPr>
          <w:rFonts w:ascii="Times New Roman" w:hAnsi="Times New Roman" w:cs="Times New Roman"/>
          <w:sz w:val="22"/>
          <w:szCs w:val="22"/>
        </w:rPr>
        <w:t xml:space="preserve"> Ozone, the triatomic form of oxygen (O</w:t>
      </w:r>
      <w:r w:rsidRPr="00A94502">
        <w:rPr>
          <w:rFonts w:ascii="Times New Roman" w:hAnsi="Times New Roman" w:cs="Times New Roman"/>
          <w:sz w:val="22"/>
          <w:szCs w:val="22"/>
          <w:vertAlign w:val="subscript"/>
        </w:rPr>
        <w:t>3</w:t>
      </w:r>
      <w:r w:rsidRPr="00A94502">
        <w:rPr>
          <w:rFonts w:ascii="Times New Roman" w:hAnsi="Times New Roman" w:cs="Times New Roman"/>
          <w:sz w:val="22"/>
          <w:szCs w:val="22"/>
        </w:rPr>
        <w:t xml:space="preserve">), is a gaseous atmospheric constituent. In the troposphere, it is created both naturally and by photochemical reactions involving gases resulting from human activities (smog). Tropospheric ozone acts as a greenhouse gas. In the stratosphere, it plays a dominant role in radiative balance and shields the Earth from excessive ultraviolet radiation. </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Particulate Matter (PM) Air Pollution</w:t>
      </w:r>
      <w:r w:rsidRPr="00A94502">
        <w:rPr>
          <w:rFonts w:ascii="Times New Roman" w:hAnsi="Times New Roman" w:cs="Times New Roman"/>
          <w:sz w:val="22"/>
          <w:szCs w:val="22"/>
        </w:rPr>
        <w:t xml:space="preserve"> PM is a widespread air pollutant, consisting of a mixture of solid and liquid particles suspended in the air. Commonly used indicators describing PM that are relevant to health refer to the mass concentration of particles with a diameter of less than 10 µm (PM</w:t>
      </w:r>
      <w:r w:rsidRPr="00A94502">
        <w:rPr>
          <w:rFonts w:ascii="Times New Roman" w:hAnsi="Times New Roman" w:cs="Times New Roman"/>
          <w:sz w:val="22"/>
          <w:szCs w:val="22"/>
          <w:vertAlign w:val="subscript"/>
        </w:rPr>
        <w:t>10</w:t>
      </w:r>
      <w:r w:rsidRPr="00A94502">
        <w:rPr>
          <w:rFonts w:ascii="Times New Roman" w:hAnsi="Times New Roman" w:cs="Times New Roman"/>
          <w:sz w:val="22"/>
          <w:szCs w:val="22"/>
        </w:rPr>
        <w:t>) and of particles with a diameter of less than 2.5 µm (PM</w:t>
      </w:r>
      <w:r w:rsidRPr="00A94502">
        <w:rPr>
          <w:rFonts w:ascii="Times New Roman" w:hAnsi="Times New Roman" w:cs="Times New Roman"/>
          <w:sz w:val="22"/>
          <w:szCs w:val="22"/>
          <w:vertAlign w:val="subscript"/>
        </w:rPr>
        <w:t>2.5</w:t>
      </w:r>
      <w:r w:rsidRPr="00A94502">
        <w:rPr>
          <w:rFonts w:ascii="Times New Roman" w:hAnsi="Times New Roman" w:cs="Times New Roman"/>
          <w:sz w:val="22"/>
          <w:szCs w:val="22"/>
        </w:rPr>
        <w:t>). The health effects of inhalable PM are well documented. They are due to exposure over both the short term (hours, days) and long term (months, years) and include: respiratory and cardiovascular morbidity, such as aggravation of asthma, respiratory symptoms and an increase in hospital admissions, and mortality from cardiovascular and respiratory diseases and from lung cancer. Recently, the exhaust from diesel engines (consisting mostly of particles) was classified by the International Agency for Research on Cancer as carcinogenic (Group 1) to humans.</w:t>
      </w:r>
    </w:p>
    <w:p w:rsidR="00A94502" w:rsidRPr="00A94502" w:rsidRDefault="00A94502" w:rsidP="00A94502">
      <w:pPr>
        <w:spacing w:after="120" w:line="276" w:lineRule="auto"/>
        <w:rPr>
          <w:rFonts w:ascii="Times New Roman" w:hAnsi="Times New Roman" w:cs="Times New Roman"/>
          <w:sz w:val="22"/>
          <w:szCs w:val="22"/>
        </w:rPr>
      </w:pPr>
      <w:r w:rsidRPr="00A94502">
        <w:rPr>
          <w:rFonts w:ascii="Times New Roman" w:hAnsi="Times New Roman" w:cs="Times New Roman"/>
          <w:b/>
          <w:sz w:val="22"/>
          <w:szCs w:val="22"/>
        </w:rPr>
        <w:t xml:space="preserve">Radiative forcing </w:t>
      </w:r>
      <w:r w:rsidRPr="00A94502">
        <w:rPr>
          <w:rFonts w:ascii="Times New Roman" w:hAnsi="Times New Roman" w:cs="Times New Roman"/>
          <w:sz w:val="22"/>
          <w:szCs w:val="22"/>
        </w:rPr>
        <w:t>Radiative forcing is the change in the net, downward minus upward, radiative flux (expressed in W m–2) at the tropopause or top of atmosphere due to a change in an external driver of climate change, such as, for example, a change in the concentration of carbon dioxide or the output of the Sun. The traditional radiative forcing is computed with all tropospheric properties held fixed at their unperturbed values, and after allowing for stratospheric temperatures, if perturbed, to readjust to radiative-dynamical equilibrium. The radiative forcing once rapid adjustments are accounted for is termed the effective radiative forcing. For the purposes of this report, radiative forcing is further defined as the change relative to the year 1750 and, unless otherwise noted, refers to a global and annual average value.</w:t>
      </w:r>
    </w:p>
    <w:p w:rsidR="0020382A" w:rsidRPr="00A94502" w:rsidRDefault="0020382A" w:rsidP="00A94502">
      <w:pPr>
        <w:widowControl w:val="0"/>
        <w:autoSpaceDE w:val="0"/>
        <w:autoSpaceDN w:val="0"/>
        <w:adjustRightInd w:val="0"/>
        <w:spacing w:line="276" w:lineRule="auto"/>
        <w:rPr>
          <w:rFonts w:ascii="Times New Roman" w:hAnsi="Times New Roman" w:cs="Times New Roman"/>
          <w:sz w:val="22"/>
          <w:szCs w:val="22"/>
        </w:rPr>
      </w:pPr>
    </w:p>
    <w:sectPr w:rsidR="0020382A" w:rsidRPr="00A94502" w:rsidSect="00A94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F2" w:rsidRDefault="00A709F2" w:rsidP="0044342D">
      <w:r>
        <w:separator/>
      </w:r>
    </w:p>
  </w:endnote>
  <w:endnote w:type="continuationSeparator" w:id="0">
    <w:p w:rsidR="00A709F2" w:rsidRDefault="00A709F2" w:rsidP="0044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Pro 57 Condensed">
    <w:altName w:val="Cambria"/>
    <w:panose1 w:val="00000000000000000000"/>
    <w:charset w:val="00"/>
    <w:family w:val="swiss"/>
    <w:notTrueType/>
    <w:pitch w:val="default"/>
    <w:sig w:usb0="00000003" w:usb1="00000000" w:usb2="00000000" w:usb3="00000000" w:csb0="00000001" w:csb1="00000000"/>
  </w:font>
  <w:font w:name="Frutiger LT Pro 45 Light">
    <w:altName w:val="Frutiger LT Pro 45 Light"/>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2D" w:rsidRDefault="0044342D" w:rsidP="0044342D">
    <w:pPr>
      <w:pStyle w:val="Default"/>
    </w:pPr>
  </w:p>
  <w:p w:rsidR="0044342D" w:rsidRPr="0044342D" w:rsidRDefault="0044342D" w:rsidP="0044342D">
    <w:pPr>
      <w:pStyle w:val="Pa2"/>
      <w:spacing w:after="100"/>
      <w:jc w:val="both"/>
      <w:rPr>
        <w:rFonts w:ascii="Times New Roman" w:hAnsi="Times New Roman" w:cs="Times New Roman"/>
        <w:color w:val="000000"/>
        <w:sz w:val="22"/>
        <w:szCs w:val="22"/>
      </w:rPr>
    </w:pPr>
    <w:r w:rsidRPr="0044342D">
      <w:rPr>
        <w:rStyle w:val="A2"/>
        <w:rFonts w:ascii="Times New Roman" w:hAnsi="Times New Roman" w:cs="Times New Roman"/>
        <w:sz w:val="22"/>
        <w:szCs w:val="22"/>
      </w:rPr>
      <w:t xml:space="preserve">This briefing has been developed by the Scientific Advisory Panel of the Climate and Clean Air Coalition to Reduce Short-Lived Climate Pollutants (CCAC). </w:t>
    </w:r>
  </w:p>
  <w:p w:rsidR="0044342D" w:rsidRPr="0044342D" w:rsidRDefault="0044342D" w:rsidP="0044342D">
    <w:pPr>
      <w:pStyle w:val="Footer"/>
      <w:rPr>
        <w:rFonts w:ascii="Times New Roman" w:hAnsi="Times New Roman" w:cs="Times New Roman"/>
        <w:sz w:val="22"/>
        <w:szCs w:val="22"/>
      </w:rPr>
    </w:pPr>
    <w:r w:rsidRPr="0044342D">
      <w:rPr>
        <w:rStyle w:val="A2"/>
        <w:rFonts w:ascii="Times New Roman" w:hAnsi="Times New Roman" w:cs="Times New Roman"/>
        <w:sz w:val="22"/>
        <w:szCs w:val="22"/>
      </w:rPr>
      <w:t>This document and more information on the CCAC are available at: www.unep.org/ccac/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355345"/>
      <w:docPartObj>
        <w:docPartGallery w:val="Page Numbers (Bottom of Page)"/>
        <w:docPartUnique/>
      </w:docPartObj>
    </w:sdtPr>
    <w:sdtEndPr>
      <w:rPr>
        <w:noProof/>
      </w:rPr>
    </w:sdtEndPr>
    <w:sdtContent>
      <w:p w:rsidR="0044342D" w:rsidRDefault="0044342D">
        <w:pPr>
          <w:pStyle w:val="Footer"/>
          <w:jc w:val="center"/>
        </w:pPr>
        <w:r>
          <w:fldChar w:fldCharType="begin"/>
        </w:r>
        <w:r>
          <w:instrText xml:space="preserve"> PAGE   \* MERGEFORMAT </w:instrText>
        </w:r>
        <w:r>
          <w:fldChar w:fldCharType="separate"/>
        </w:r>
        <w:r w:rsidR="00A94502">
          <w:rPr>
            <w:noProof/>
          </w:rPr>
          <w:t>8</w:t>
        </w:r>
        <w:r>
          <w:rPr>
            <w:noProof/>
          </w:rPr>
          <w:fldChar w:fldCharType="end"/>
        </w:r>
      </w:p>
    </w:sdtContent>
  </w:sdt>
  <w:p w:rsidR="0044342D" w:rsidRPr="0044342D" w:rsidRDefault="0044342D" w:rsidP="00443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F2" w:rsidRDefault="00A709F2" w:rsidP="0044342D">
      <w:r>
        <w:separator/>
      </w:r>
    </w:p>
  </w:footnote>
  <w:footnote w:type="continuationSeparator" w:id="0">
    <w:p w:rsidR="00A709F2" w:rsidRDefault="00A709F2" w:rsidP="00443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2D" w:rsidRDefault="0044342D">
    <w:pPr>
      <w:pStyle w:val="Header"/>
    </w:pPr>
    <w:r w:rsidRPr="0044342D">
      <w:rPr>
        <w:b/>
        <w:i/>
        <w:noProof/>
      </w:rPr>
      <w:drawing>
        <wp:anchor distT="0" distB="0" distL="114300" distR="114300" simplePos="0" relativeHeight="251660288" behindDoc="1" locked="0" layoutInCell="1" allowOverlap="1">
          <wp:simplePos x="0" y="0"/>
          <wp:positionH relativeFrom="column">
            <wp:posOffset>727188</wp:posOffset>
          </wp:positionH>
          <wp:positionV relativeFrom="paragraph">
            <wp:posOffset>-101988</wp:posOffset>
          </wp:positionV>
          <wp:extent cx="3807725" cy="1873736"/>
          <wp:effectExtent l="0" t="0" r="0" b="0"/>
          <wp:wrapNone/>
          <wp:docPr id="20" name="Picture 20" descr="D:\UNEP1\CCAC\Communications\Visual identity and guidelines\Logo and visual identity materials\CCAC-LOGO-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EP1\CCAC\Communications\Visual identity and guidelines\Logo and visual identity materials\CCAC-LOGO-HIGH-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7725" cy="18737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2D" w:rsidRPr="0044342D" w:rsidRDefault="0044342D" w:rsidP="0044342D">
    <w:pPr>
      <w:pStyle w:val="Header"/>
      <w:jc w:val="right"/>
      <w:rPr>
        <w:rFonts w:ascii="Times New Roman" w:hAnsi="Times New Roman" w:cs="Times New Roman"/>
      </w:rPr>
    </w:pPr>
    <w:r w:rsidRPr="0044342D">
      <w:rPr>
        <w:rFonts w:ascii="Times New Roman" w:hAnsi="Times New Roman" w:cs="Times New Roman"/>
        <w:b/>
        <w:i/>
        <w:noProof/>
      </w:rPr>
      <w:drawing>
        <wp:anchor distT="0" distB="0" distL="114300" distR="114300" simplePos="0" relativeHeight="251661312" behindDoc="1" locked="0" layoutInCell="1" allowOverlap="1" wp14:anchorId="2E307C0A" wp14:editId="15134B40">
          <wp:simplePos x="0" y="0"/>
          <wp:positionH relativeFrom="column">
            <wp:posOffset>-777834</wp:posOffset>
          </wp:positionH>
          <wp:positionV relativeFrom="paragraph">
            <wp:posOffset>-302821</wp:posOffset>
          </wp:positionV>
          <wp:extent cx="1371600" cy="674948"/>
          <wp:effectExtent l="0" t="0" r="0" b="0"/>
          <wp:wrapNone/>
          <wp:docPr id="18" name="Picture 18" descr="D:\UNEP1\CCAC\Communications\Visual identity and guidelines\Logo and visual identity materials\CCAC-LOGO-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EP1\CCAC\Communications\Visual identity and guidelines\Logo and visual identity materials\CCAC-LOGO-HIGH-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2933" cy="68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42D">
      <w:rPr>
        <w:rFonts w:ascii="Times New Roman" w:hAnsi="Times New Roman" w:cs="Times New Roman"/>
      </w:rPr>
      <w:t>April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2A"/>
    <w:rsid w:val="000173ED"/>
    <w:rsid w:val="000243DA"/>
    <w:rsid w:val="00025819"/>
    <w:rsid w:val="00032E90"/>
    <w:rsid w:val="00047221"/>
    <w:rsid w:val="00084349"/>
    <w:rsid w:val="00085274"/>
    <w:rsid w:val="000D4B78"/>
    <w:rsid w:val="0012234D"/>
    <w:rsid w:val="00130BB0"/>
    <w:rsid w:val="001479C2"/>
    <w:rsid w:val="001638D9"/>
    <w:rsid w:val="00164BB0"/>
    <w:rsid w:val="001749E1"/>
    <w:rsid w:val="00175F14"/>
    <w:rsid w:val="00194AA0"/>
    <w:rsid w:val="0019503C"/>
    <w:rsid w:val="001977DB"/>
    <w:rsid w:val="001C1EB6"/>
    <w:rsid w:val="001C4974"/>
    <w:rsid w:val="001D3C0F"/>
    <w:rsid w:val="001E3930"/>
    <w:rsid w:val="0020382A"/>
    <w:rsid w:val="002077BB"/>
    <w:rsid w:val="00227192"/>
    <w:rsid w:val="00230F3E"/>
    <w:rsid w:val="00250ED8"/>
    <w:rsid w:val="0027403A"/>
    <w:rsid w:val="00282CC7"/>
    <w:rsid w:val="002B0832"/>
    <w:rsid w:val="002C4967"/>
    <w:rsid w:val="002D50F4"/>
    <w:rsid w:val="002F22BB"/>
    <w:rsid w:val="002F5933"/>
    <w:rsid w:val="00302DAC"/>
    <w:rsid w:val="00326366"/>
    <w:rsid w:val="00342547"/>
    <w:rsid w:val="00351D07"/>
    <w:rsid w:val="003541CB"/>
    <w:rsid w:val="003929F0"/>
    <w:rsid w:val="003A4142"/>
    <w:rsid w:val="003D6018"/>
    <w:rsid w:val="004065FE"/>
    <w:rsid w:val="0040716A"/>
    <w:rsid w:val="00420A01"/>
    <w:rsid w:val="00432301"/>
    <w:rsid w:val="0043334C"/>
    <w:rsid w:val="00440B06"/>
    <w:rsid w:val="00442090"/>
    <w:rsid w:val="0044342D"/>
    <w:rsid w:val="00466B96"/>
    <w:rsid w:val="0048217F"/>
    <w:rsid w:val="0048485F"/>
    <w:rsid w:val="00485548"/>
    <w:rsid w:val="00496104"/>
    <w:rsid w:val="004A3AE9"/>
    <w:rsid w:val="004C0327"/>
    <w:rsid w:val="004D17F2"/>
    <w:rsid w:val="004E4D62"/>
    <w:rsid w:val="004E5680"/>
    <w:rsid w:val="004F51DA"/>
    <w:rsid w:val="004F6461"/>
    <w:rsid w:val="005106AB"/>
    <w:rsid w:val="0051267E"/>
    <w:rsid w:val="00540349"/>
    <w:rsid w:val="00562E85"/>
    <w:rsid w:val="00567365"/>
    <w:rsid w:val="00573FFB"/>
    <w:rsid w:val="00577F03"/>
    <w:rsid w:val="00580787"/>
    <w:rsid w:val="00592BFC"/>
    <w:rsid w:val="006110A4"/>
    <w:rsid w:val="00611BEF"/>
    <w:rsid w:val="006415F7"/>
    <w:rsid w:val="00644190"/>
    <w:rsid w:val="006532AC"/>
    <w:rsid w:val="00670A96"/>
    <w:rsid w:val="0068458E"/>
    <w:rsid w:val="00684C58"/>
    <w:rsid w:val="006B476E"/>
    <w:rsid w:val="006B6D9E"/>
    <w:rsid w:val="006B7F5A"/>
    <w:rsid w:val="006C3FA9"/>
    <w:rsid w:val="006C6A37"/>
    <w:rsid w:val="006E3C0D"/>
    <w:rsid w:val="006F4AC5"/>
    <w:rsid w:val="0072202D"/>
    <w:rsid w:val="007245A4"/>
    <w:rsid w:val="00737355"/>
    <w:rsid w:val="00764215"/>
    <w:rsid w:val="007930A7"/>
    <w:rsid w:val="007A4F8A"/>
    <w:rsid w:val="007B069B"/>
    <w:rsid w:val="007C16DB"/>
    <w:rsid w:val="007C1C7D"/>
    <w:rsid w:val="007C5B70"/>
    <w:rsid w:val="007E38D7"/>
    <w:rsid w:val="007E46EB"/>
    <w:rsid w:val="007F0A31"/>
    <w:rsid w:val="007F4B83"/>
    <w:rsid w:val="00806D0E"/>
    <w:rsid w:val="0083446C"/>
    <w:rsid w:val="0086318B"/>
    <w:rsid w:val="0086564A"/>
    <w:rsid w:val="008A195E"/>
    <w:rsid w:val="008A3C53"/>
    <w:rsid w:val="008D6480"/>
    <w:rsid w:val="008F7B8E"/>
    <w:rsid w:val="00903BA2"/>
    <w:rsid w:val="00917AF9"/>
    <w:rsid w:val="00931763"/>
    <w:rsid w:val="00963C69"/>
    <w:rsid w:val="009644D1"/>
    <w:rsid w:val="00964A42"/>
    <w:rsid w:val="00980617"/>
    <w:rsid w:val="0099023E"/>
    <w:rsid w:val="00992A4F"/>
    <w:rsid w:val="009A1B2D"/>
    <w:rsid w:val="009A1CF0"/>
    <w:rsid w:val="009A3A6F"/>
    <w:rsid w:val="009A5354"/>
    <w:rsid w:val="009B2CA0"/>
    <w:rsid w:val="009C19DB"/>
    <w:rsid w:val="009D2000"/>
    <w:rsid w:val="009F37E8"/>
    <w:rsid w:val="00A01FAB"/>
    <w:rsid w:val="00A03F92"/>
    <w:rsid w:val="00A04C95"/>
    <w:rsid w:val="00A32B92"/>
    <w:rsid w:val="00A45DAD"/>
    <w:rsid w:val="00A51B85"/>
    <w:rsid w:val="00A532EB"/>
    <w:rsid w:val="00A709F2"/>
    <w:rsid w:val="00A94502"/>
    <w:rsid w:val="00AC4FC9"/>
    <w:rsid w:val="00AD657E"/>
    <w:rsid w:val="00AE32B0"/>
    <w:rsid w:val="00AE50C3"/>
    <w:rsid w:val="00B05AF7"/>
    <w:rsid w:val="00B078F1"/>
    <w:rsid w:val="00B21BF2"/>
    <w:rsid w:val="00B51C00"/>
    <w:rsid w:val="00B61B60"/>
    <w:rsid w:val="00B67CE7"/>
    <w:rsid w:val="00B73D3D"/>
    <w:rsid w:val="00B77B91"/>
    <w:rsid w:val="00B82745"/>
    <w:rsid w:val="00B92150"/>
    <w:rsid w:val="00BA05AA"/>
    <w:rsid w:val="00BC621D"/>
    <w:rsid w:val="00BC69AD"/>
    <w:rsid w:val="00BD21A2"/>
    <w:rsid w:val="00BE646B"/>
    <w:rsid w:val="00BF3AF3"/>
    <w:rsid w:val="00C2577A"/>
    <w:rsid w:val="00C33F31"/>
    <w:rsid w:val="00C34FFB"/>
    <w:rsid w:val="00C37EA6"/>
    <w:rsid w:val="00C41E85"/>
    <w:rsid w:val="00C521D7"/>
    <w:rsid w:val="00C55673"/>
    <w:rsid w:val="00C61190"/>
    <w:rsid w:val="00CA165F"/>
    <w:rsid w:val="00CD2E44"/>
    <w:rsid w:val="00CD47CE"/>
    <w:rsid w:val="00CE3F4D"/>
    <w:rsid w:val="00CF20E1"/>
    <w:rsid w:val="00D177C4"/>
    <w:rsid w:val="00D23047"/>
    <w:rsid w:val="00D26887"/>
    <w:rsid w:val="00D4156A"/>
    <w:rsid w:val="00D60D1D"/>
    <w:rsid w:val="00D70083"/>
    <w:rsid w:val="00D76E3B"/>
    <w:rsid w:val="00D92290"/>
    <w:rsid w:val="00DD7E8E"/>
    <w:rsid w:val="00DE5476"/>
    <w:rsid w:val="00DE77F0"/>
    <w:rsid w:val="00DF3EC7"/>
    <w:rsid w:val="00DF7039"/>
    <w:rsid w:val="00DF771E"/>
    <w:rsid w:val="00DF7F2C"/>
    <w:rsid w:val="00E01F6B"/>
    <w:rsid w:val="00E13007"/>
    <w:rsid w:val="00E14CA2"/>
    <w:rsid w:val="00E230B6"/>
    <w:rsid w:val="00E348DB"/>
    <w:rsid w:val="00E460B7"/>
    <w:rsid w:val="00E60E35"/>
    <w:rsid w:val="00E62F52"/>
    <w:rsid w:val="00E860A7"/>
    <w:rsid w:val="00EF0662"/>
    <w:rsid w:val="00EF651F"/>
    <w:rsid w:val="00F10B5D"/>
    <w:rsid w:val="00F154AA"/>
    <w:rsid w:val="00F346C4"/>
    <w:rsid w:val="00F359F0"/>
    <w:rsid w:val="00F42099"/>
    <w:rsid w:val="00F4356C"/>
    <w:rsid w:val="00F445BC"/>
    <w:rsid w:val="00F4627D"/>
    <w:rsid w:val="00F5263A"/>
    <w:rsid w:val="00F66E44"/>
    <w:rsid w:val="00F9533F"/>
    <w:rsid w:val="00FC03EC"/>
    <w:rsid w:val="00FC5BD0"/>
    <w:rsid w:val="00FC729D"/>
    <w:rsid w:val="00FD0131"/>
    <w:rsid w:val="00FD25EF"/>
    <w:rsid w:val="00FD58C1"/>
    <w:rsid w:val="00FE0E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79E84D7-53CB-4045-A93B-8B6025FC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9D"/>
    <w:rPr>
      <w:sz w:val="24"/>
      <w:szCs w:val="24"/>
    </w:rPr>
  </w:style>
  <w:style w:type="paragraph" w:styleId="Heading2">
    <w:name w:val="heading 2"/>
    <w:basedOn w:val="Normal"/>
    <w:next w:val="Normal"/>
    <w:link w:val="Heading2Char"/>
    <w:uiPriority w:val="9"/>
    <w:unhideWhenUsed/>
    <w:qFormat/>
    <w:rsid w:val="004434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B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9">
    <w:name w:val="Pa19"/>
    <w:basedOn w:val="Normal"/>
    <w:next w:val="Normal"/>
    <w:uiPriority w:val="99"/>
    <w:rsid w:val="009A1B2D"/>
    <w:pPr>
      <w:widowControl w:val="0"/>
      <w:autoSpaceDE w:val="0"/>
      <w:autoSpaceDN w:val="0"/>
      <w:adjustRightInd w:val="0"/>
      <w:spacing w:line="141" w:lineRule="atLeast"/>
    </w:pPr>
    <w:rPr>
      <w:rFonts w:ascii="Frutiger LT Pro 57 Condensed" w:hAnsi="Frutiger LT Pro 57 Condensed" w:cs="Times New Roman"/>
    </w:rPr>
  </w:style>
  <w:style w:type="character" w:customStyle="1" w:styleId="A14">
    <w:name w:val="A14"/>
    <w:uiPriority w:val="99"/>
    <w:rsid w:val="00DF7039"/>
    <w:rPr>
      <w:rFonts w:cs="Frutiger LT Pro 45 Light"/>
      <w:b/>
      <w:bCs/>
      <w:color w:val="000000"/>
      <w:sz w:val="22"/>
      <w:szCs w:val="22"/>
    </w:rPr>
  </w:style>
  <w:style w:type="character" w:customStyle="1" w:styleId="A10">
    <w:name w:val="A10"/>
    <w:uiPriority w:val="99"/>
    <w:rsid w:val="00B77B91"/>
    <w:rPr>
      <w:rFonts w:cs="Frutiger LT Pro 57 Condensed"/>
      <w:color w:val="000000"/>
      <w:sz w:val="11"/>
      <w:szCs w:val="11"/>
    </w:rPr>
  </w:style>
  <w:style w:type="paragraph" w:styleId="BalloonText">
    <w:name w:val="Balloon Text"/>
    <w:basedOn w:val="Normal"/>
    <w:link w:val="BalloonTextChar"/>
    <w:uiPriority w:val="99"/>
    <w:semiHidden/>
    <w:unhideWhenUsed/>
    <w:rsid w:val="00443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2D"/>
    <w:rPr>
      <w:rFonts w:ascii="Segoe UI" w:hAnsi="Segoe UI" w:cs="Segoe UI"/>
      <w:sz w:val="18"/>
      <w:szCs w:val="18"/>
    </w:rPr>
  </w:style>
  <w:style w:type="paragraph" w:styleId="Header">
    <w:name w:val="header"/>
    <w:basedOn w:val="Normal"/>
    <w:link w:val="HeaderChar"/>
    <w:uiPriority w:val="99"/>
    <w:unhideWhenUsed/>
    <w:rsid w:val="0044342D"/>
    <w:pPr>
      <w:tabs>
        <w:tab w:val="center" w:pos="4680"/>
        <w:tab w:val="right" w:pos="9360"/>
      </w:tabs>
    </w:pPr>
  </w:style>
  <w:style w:type="character" w:customStyle="1" w:styleId="HeaderChar">
    <w:name w:val="Header Char"/>
    <w:basedOn w:val="DefaultParagraphFont"/>
    <w:link w:val="Header"/>
    <w:uiPriority w:val="99"/>
    <w:rsid w:val="0044342D"/>
    <w:rPr>
      <w:sz w:val="24"/>
      <w:szCs w:val="24"/>
    </w:rPr>
  </w:style>
  <w:style w:type="paragraph" w:styleId="Footer">
    <w:name w:val="footer"/>
    <w:basedOn w:val="Normal"/>
    <w:link w:val="FooterChar"/>
    <w:uiPriority w:val="99"/>
    <w:unhideWhenUsed/>
    <w:rsid w:val="0044342D"/>
    <w:pPr>
      <w:tabs>
        <w:tab w:val="center" w:pos="4680"/>
        <w:tab w:val="right" w:pos="9360"/>
      </w:tabs>
    </w:pPr>
  </w:style>
  <w:style w:type="character" w:customStyle="1" w:styleId="FooterChar">
    <w:name w:val="Footer Char"/>
    <w:basedOn w:val="DefaultParagraphFont"/>
    <w:link w:val="Footer"/>
    <w:uiPriority w:val="99"/>
    <w:rsid w:val="0044342D"/>
    <w:rPr>
      <w:sz w:val="24"/>
      <w:szCs w:val="24"/>
    </w:rPr>
  </w:style>
  <w:style w:type="paragraph" w:customStyle="1" w:styleId="Default">
    <w:name w:val="Default"/>
    <w:rsid w:val="0044342D"/>
    <w:pPr>
      <w:autoSpaceDE w:val="0"/>
      <w:autoSpaceDN w:val="0"/>
      <w:adjustRightInd w:val="0"/>
    </w:pPr>
    <w:rPr>
      <w:rFonts w:ascii="GillSans" w:hAnsi="GillSans" w:cs="GillSans"/>
      <w:color w:val="000000"/>
      <w:sz w:val="24"/>
      <w:szCs w:val="24"/>
    </w:rPr>
  </w:style>
  <w:style w:type="paragraph" w:customStyle="1" w:styleId="Pa0">
    <w:name w:val="Pa0"/>
    <w:basedOn w:val="Default"/>
    <w:next w:val="Default"/>
    <w:uiPriority w:val="99"/>
    <w:rsid w:val="0044342D"/>
    <w:pPr>
      <w:spacing w:line="241" w:lineRule="atLeast"/>
    </w:pPr>
    <w:rPr>
      <w:rFonts w:cstheme="minorBidi"/>
      <w:color w:val="auto"/>
    </w:rPr>
  </w:style>
  <w:style w:type="character" w:customStyle="1" w:styleId="A0">
    <w:name w:val="A0"/>
    <w:uiPriority w:val="99"/>
    <w:rsid w:val="0044342D"/>
    <w:rPr>
      <w:rFonts w:cs="GillSans"/>
      <w:color w:val="000000"/>
      <w:sz w:val="35"/>
      <w:szCs w:val="35"/>
    </w:rPr>
  </w:style>
  <w:style w:type="character" w:customStyle="1" w:styleId="A1">
    <w:name w:val="A1"/>
    <w:uiPriority w:val="99"/>
    <w:rsid w:val="0044342D"/>
    <w:rPr>
      <w:rFonts w:cs="GillSans"/>
      <w:color w:val="000000"/>
      <w:sz w:val="30"/>
      <w:szCs w:val="30"/>
    </w:rPr>
  </w:style>
  <w:style w:type="paragraph" w:customStyle="1" w:styleId="Pa2">
    <w:name w:val="Pa2"/>
    <w:basedOn w:val="Default"/>
    <w:next w:val="Default"/>
    <w:uiPriority w:val="99"/>
    <w:rsid w:val="0044342D"/>
    <w:pPr>
      <w:spacing w:line="241" w:lineRule="atLeast"/>
    </w:pPr>
    <w:rPr>
      <w:rFonts w:cstheme="minorBidi"/>
      <w:color w:val="auto"/>
    </w:rPr>
  </w:style>
  <w:style w:type="character" w:customStyle="1" w:styleId="A2">
    <w:name w:val="A2"/>
    <w:uiPriority w:val="99"/>
    <w:rsid w:val="0044342D"/>
    <w:rPr>
      <w:rFonts w:cs="GillSans"/>
      <w:color w:val="000000"/>
      <w:sz w:val="20"/>
      <w:szCs w:val="20"/>
    </w:rPr>
  </w:style>
  <w:style w:type="character" w:customStyle="1" w:styleId="Heading2Char">
    <w:name w:val="Heading 2 Char"/>
    <w:basedOn w:val="DefaultParagraphFont"/>
    <w:link w:val="Heading2"/>
    <w:uiPriority w:val="9"/>
    <w:rsid w:val="004434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Columbia</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Bonnard</dc:creator>
  <cp:keywords/>
  <cp:lastModifiedBy>Sophie Bonnard</cp:lastModifiedBy>
  <cp:revision>2</cp:revision>
  <cp:lastPrinted>2014-03-27T11:27:00Z</cp:lastPrinted>
  <dcterms:created xsi:type="dcterms:W3CDTF">2014-05-08T15:45:00Z</dcterms:created>
  <dcterms:modified xsi:type="dcterms:W3CDTF">2014-05-08T15:45:00Z</dcterms:modified>
</cp:coreProperties>
</file>