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84B7F" w14:textId="77777777" w:rsidR="00A76E9C" w:rsidRDefault="00A76E9C" w:rsidP="00A76E9C">
      <w:pPr>
        <w:pStyle w:val="NormalWeb"/>
        <w:shd w:val="clear" w:color="auto" w:fill="FDFDFD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2E74B5" w:themeColor="accent1" w:themeShade="BF"/>
          <w:spacing w:val="20"/>
          <w:sz w:val="22"/>
          <w:szCs w:val="22"/>
          <w:lang w:val="en-US"/>
        </w:rPr>
      </w:pPr>
      <w:r w:rsidRPr="006D2D47">
        <w:rPr>
          <w:rFonts w:ascii="Calibri" w:hAnsi="Calibri" w:cs="Calibri"/>
          <w:b/>
          <w:bCs/>
          <w:color w:val="2E74B5" w:themeColor="accent1" w:themeShade="BF"/>
          <w:spacing w:val="20"/>
          <w:sz w:val="22"/>
          <w:szCs w:val="22"/>
          <w:lang w:val="en-US"/>
        </w:rPr>
        <w:t>“AN ACTION PROGRAMME TO ADDRESS THE 1.5</w:t>
      </w:r>
      <w:r w:rsidRPr="006D2D47">
        <w:rPr>
          <w:rFonts w:ascii="Calibri" w:hAnsi="Calibri" w:cs="Calibri"/>
          <w:b/>
          <w:bCs/>
          <w:color w:val="2E74B5" w:themeColor="accent1" w:themeShade="BF"/>
          <w:spacing w:val="20"/>
          <w:sz w:val="20"/>
          <w:szCs w:val="22"/>
          <w:vertAlign w:val="superscript"/>
          <w:lang w:val="en-US"/>
        </w:rPr>
        <w:t>O</w:t>
      </w:r>
      <w:r w:rsidRPr="006D2D47">
        <w:rPr>
          <w:rFonts w:ascii="Calibri" w:hAnsi="Calibri" w:cs="Calibri"/>
          <w:b/>
          <w:bCs/>
          <w:color w:val="2E74B5" w:themeColor="accent1" w:themeShade="BF"/>
          <w:spacing w:val="20"/>
          <w:sz w:val="22"/>
          <w:szCs w:val="22"/>
          <w:lang w:val="en-US"/>
        </w:rPr>
        <w:t>C CHALLENGE”</w:t>
      </w:r>
    </w:p>
    <w:p w14:paraId="3FE539C7" w14:textId="77777777" w:rsidR="00A76E9C" w:rsidRPr="00AC5D42" w:rsidRDefault="00A76E9C" w:rsidP="00A76E9C">
      <w:pPr>
        <w:pStyle w:val="NormalWeb"/>
        <w:shd w:val="clear" w:color="auto" w:fill="FDFDFD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2E74B5" w:themeColor="accent1" w:themeShade="BF"/>
          <w:spacing w:val="20"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color w:val="2E74B5" w:themeColor="accent1" w:themeShade="BF"/>
          <w:spacing w:val="20"/>
          <w:sz w:val="22"/>
          <w:szCs w:val="22"/>
          <w:u w:val="single"/>
          <w:lang w:val="en-US"/>
        </w:rPr>
        <w:t>FUNDING REQUEST GUIDELINES AND CRITERIA</w:t>
      </w:r>
    </w:p>
    <w:p w14:paraId="57E65DAF" w14:textId="77777777" w:rsidR="00A76E9C" w:rsidRPr="006D2D47" w:rsidRDefault="00A76E9C" w:rsidP="00A76E9C">
      <w:pPr>
        <w:pStyle w:val="NormalWeb"/>
        <w:shd w:val="clear" w:color="auto" w:fill="FDFDFD"/>
        <w:spacing w:before="0" w:beforeAutospacing="0" w:after="360" w:afterAutospacing="0" w:line="276" w:lineRule="auto"/>
        <w:jc w:val="center"/>
        <w:rPr>
          <w:rFonts w:ascii="Calibri" w:hAnsi="Calibri" w:cs="Calibri"/>
          <w:bCs/>
          <w:i/>
          <w:color w:val="2E74B5" w:themeColor="accent1" w:themeShade="BF"/>
          <w:sz w:val="20"/>
          <w:szCs w:val="22"/>
          <w:lang w:val="en-US"/>
        </w:rPr>
      </w:pPr>
      <w:r w:rsidRPr="006D2D47">
        <w:rPr>
          <w:rFonts w:ascii="Calibri" w:hAnsi="Calibri" w:cs="Calibri"/>
          <w:bCs/>
          <w:i/>
          <w:color w:val="2E74B5" w:themeColor="accent1" w:themeShade="BF"/>
          <w:sz w:val="22"/>
          <w:szCs w:val="22"/>
          <w:lang w:val="en-US"/>
        </w:rPr>
        <w:t>Fast action – Quick results – Multiple benefits</w:t>
      </w:r>
    </w:p>
    <w:p w14:paraId="3BA4ECF9" w14:textId="77777777" w:rsidR="00A76E9C" w:rsidRDefault="00A76E9C" w:rsidP="00A76E9C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rPr>
          <w:bCs/>
          <w:i/>
          <w:lang w:val="en-GB"/>
        </w:rPr>
      </w:pPr>
      <w:r>
        <w:rPr>
          <w:bCs/>
          <w:i/>
          <w:lang w:val="en-GB"/>
        </w:rPr>
        <w:t xml:space="preserve">Background: </w:t>
      </w:r>
      <w:r w:rsidRPr="00EF6ECB">
        <w:rPr>
          <w:bCs/>
          <w:i/>
          <w:lang w:val="en-GB"/>
        </w:rPr>
        <w:t>The 2018 High Level Assembly in Katowice, during COP24, launched approved the Climate and Clean Air Coalition’s (CCAC) Action Programme to Address the 1.5</w:t>
      </w:r>
      <w:r w:rsidRPr="00EF6ECB">
        <w:rPr>
          <w:bCs/>
          <w:i/>
          <w:vertAlign w:val="superscript"/>
          <w:lang w:val="en-GB"/>
        </w:rPr>
        <w:t>o</w:t>
      </w:r>
      <w:r w:rsidRPr="00EF6ECB">
        <w:rPr>
          <w:bCs/>
          <w:i/>
          <w:lang w:val="en-GB"/>
        </w:rPr>
        <w:t>C Challenge (</w:t>
      </w:r>
      <w:hyperlink r:id="rId8" w:anchor="files/4906909" w:history="1">
        <w:r w:rsidRPr="00DC0BD5">
          <w:rPr>
            <w:rStyle w:val="Hyperlink"/>
            <w:bCs/>
            <w:i/>
            <w:lang w:val="en-GB"/>
          </w:rPr>
          <w:t>HLA/DEC2018/03A</w:t>
        </w:r>
      </w:hyperlink>
      <w:r w:rsidRPr="00EF6ECB">
        <w:rPr>
          <w:bCs/>
          <w:i/>
          <w:lang w:val="en-GB"/>
        </w:rPr>
        <w:t>), in response to the IPCC 1.5˚C Special Report which emphasized the need for early action on all climate forcing emissions, including short-lived climate pollutants (SLCPs), as part of the pathway to stay well below 2</w:t>
      </w:r>
      <w:r w:rsidRPr="00EF6ECB">
        <w:rPr>
          <w:bCs/>
          <w:i/>
          <w:vertAlign w:val="superscript"/>
          <w:lang w:val="en-GB"/>
        </w:rPr>
        <w:t>o</w:t>
      </w:r>
      <w:r w:rsidRPr="00EF6ECB">
        <w:rPr>
          <w:bCs/>
          <w:i/>
          <w:lang w:val="en-GB"/>
        </w:rPr>
        <w:t>C.</w:t>
      </w:r>
    </w:p>
    <w:p w14:paraId="4123E399" w14:textId="77777777" w:rsidR="00A76E9C" w:rsidRPr="00FD4C14" w:rsidRDefault="00A76E9C" w:rsidP="00A76E9C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 w:themeFill="accent1" w:themeFillTint="33"/>
        <w:rPr>
          <w:i/>
        </w:rPr>
      </w:pPr>
      <w:r>
        <w:rPr>
          <w:bCs/>
          <w:i/>
          <w:u w:val="single"/>
          <w:lang w:val="en-GB"/>
        </w:rPr>
        <w:t>The 2018 Working Group approved the Action Programme Implementation plan an</w:t>
      </w:r>
      <w:r w:rsidR="008838A2">
        <w:rPr>
          <w:bCs/>
          <w:i/>
          <w:u w:val="single"/>
          <w:lang w:val="en-GB"/>
        </w:rPr>
        <w:t>d an indicative</w:t>
      </w:r>
      <w:r>
        <w:rPr>
          <w:bCs/>
          <w:i/>
          <w:u w:val="single"/>
          <w:lang w:val="en-GB"/>
        </w:rPr>
        <w:t xml:space="preserve"> Budget (WG/MAR2019/04)</w:t>
      </w:r>
      <w:r w:rsidR="008838A2">
        <w:rPr>
          <w:bCs/>
          <w:i/>
          <w:u w:val="single"/>
          <w:lang w:val="en-GB"/>
        </w:rPr>
        <w:t>.</w:t>
      </w:r>
      <w:r>
        <w:rPr>
          <w:bCs/>
          <w:i/>
          <w:u w:val="single"/>
          <w:lang w:val="en-GB"/>
        </w:rPr>
        <w:t xml:space="preserve"> </w:t>
      </w:r>
    </w:p>
    <w:p w14:paraId="18DF47F1" w14:textId="77777777" w:rsidR="00A76E9C" w:rsidRPr="008747D1" w:rsidRDefault="00A76E9C" w:rsidP="00A76E9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240" w:after="120" w:line="276" w:lineRule="auto"/>
        <w:textAlignment w:val="auto"/>
        <w:rPr>
          <w:rFonts w:ascii="Calibri" w:hAnsi="Calibri" w:cs="Calibri"/>
          <w:bCs/>
          <w:color w:val="2E74B5" w:themeColor="accent1" w:themeShade="BF"/>
          <w:sz w:val="22"/>
          <w:szCs w:val="22"/>
          <w:lang w:val="en-GB"/>
        </w:rPr>
      </w:pPr>
      <w:r w:rsidRPr="008747D1">
        <w:rPr>
          <w:rFonts w:ascii="Calibri" w:hAnsi="Calibri" w:cs="Calibri"/>
          <w:b/>
          <w:bCs/>
          <w:color w:val="2E74B5" w:themeColor="accent1" w:themeShade="BF"/>
          <w:sz w:val="22"/>
          <w:szCs w:val="22"/>
          <w:lang w:val="en-GB"/>
        </w:rPr>
        <w:t>WHAT WILL WE DO?</w:t>
      </w:r>
    </w:p>
    <w:p w14:paraId="48D7967B" w14:textId="3B2B7A54" w:rsidR="00A76E9C" w:rsidRDefault="00A76E9C" w:rsidP="00A76E9C">
      <w:pPr>
        <w:pStyle w:val="NormalWeb"/>
        <w:shd w:val="clear" w:color="auto" w:fill="FDFDFD"/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objective of the </w:t>
      </w:r>
      <w:r w:rsidRPr="00027717">
        <w:rPr>
          <w:rFonts w:ascii="Calibri" w:hAnsi="Calibri" w:cs="Calibri"/>
          <w:b/>
          <w:sz w:val="22"/>
          <w:szCs w:val="22"/>
        </w:rPr>
        <w:t>“Action Programme to Address the 1.5</w:t>
      </w:r>
      <w:r>
        <w:rPr>
          <w:rFonts w:ascii="Arial" w:hAnsi="Arial" w:cs="Arial"/>
          <w:b/>
          <w:sz w:val="22"/>
          <w:szCs w:val="22"/>
        </w:rPr>
        <w:t>˚</w:t>
      </w:r>
      <w:r w:rsidRPr="00027717">
        <w:rPr>
          <w:rFonts w:ascii="Calibri" w:hAnsi="Calibri" w:cs="Calibri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7717">
        <w:rPr>
          <w:rFonts w:ascii="Calibri" w:hAnsi="Calibri" w:cs="Calibri"/>
          <w:b/>
          <w:sz w:val="22"/>
          <w:szCs w:val="22"/>
        </w:rPr>
        <w:t>Challenge”</w:t>
      </w:r>
      <w:r>
        <w:rPr>
          <w:rFonts w:ascii="Calibri" w:hAnsi="Calibri" w:cs="Calibri"/>
          <w:sz w:val="22"/>
          <w:szCs w:val="22"/>
        </w:rPr>
        <w:t xml:space="preserve"> is </w:t>
      </w:r>
      <w:r w:rsidRPr="00513657">
        <w:rPr>
          <w:rFonts w:ascii="Calibri" w:hAnsi="Calibri" w:cs="Calibri"/>
          <w:sz w:val="22"/>
          <w:szCs w:val="22"/>
        </w:rPr>
        <w:t>to assist and encourage countries that wish to increase their efforts to tackle climate change and air pollution</w:t>
      </w:r>
      <w:r>
        <w:rPr>
          <w:rFonts w:ascii="Calibri" w:hAnsi="Calibri" w:cs="Calibri"/>
          <w:sz w:val="22"/>
          <w:szCs w:val="22"/>
        </w:rPr>
        <w:t xml:space="preserve"> in an integrated way (i.e. bringing together existing workstreams, supplementing them where needed) and</w:t>
      </w:r>
      <w:r w:rsidRPr="00513657">
        <w:rPr>
          <w:rFonts w:ascii="Calibri" w:hAnsi="Calibri" w:cs="Calibri"/>
          <w:sz w:val="22"/>
          <w:szCs w:val="22"/>
        </w:rPr>
        <w:t xml:space="preserve"> to enhance action on </w:t>
      </w:r>
      <w:r>
        <w:rPr>
          <w:rFonts w:ascii="Calibri" w:hAnsi="Calibri" w:cs="Calibri"/>
          <w:sz w:val="22"/>
          <w:szCs w:val="22"/>
        </w:rPr>
        <w:t>SLCPs</w:t>
      </w:r>
      <w:r w:rsidRPr="00513657">
        <w:rPr>
          <w:rFonts w:ascii="Calibri" w:hAnsi="Calibri" w:cs="Calibri"/>
          <w:sz w:val="22"/>
          <w:szCs w:val="22"/>
        </w:rPr>
        <w:t xml:space="preserve"> in their national emissions management programs and strategies.</w:t>
      </w:r>
      <w:r>
        <w:rPr>
          <w:rFonts w:ascii="Calibri" w:hAnsi="Calibri" w:cs="Calibri"/>
          <w:sz w:val="22"/>
          <w:szCs w:val="22"/>
        </w:rPr>
        <w:t xml:space="preserve"> </w:t>
      </w:r>
      <w:r w:rsidR="008838A2">
        <w:rPr>
          <w:rFonts w:ascii="Calibri" w:hAnsi="Calibri" w:cs="Calibri"/>
          <w:sz w:val="22"/>
          <w:szCs w:val="22"/>
        </w:rPr>
        <w:t xml:space="preserve">In order to provide an opportunity for countries to fulfil this goal, </w:t>
      </w:r>
      <w:r w:rsidR="00574155">
        <w:rPr>
          <w:rFonts w:ascii="Calibri" w:hAnsi="Calibri" w:cs="Calibri"/>
          <w:sz w:val="22"/>
          <w:szCs w:val="22"/>
        </w:rPr>
        <w:t>CCAC</w:t>
      </w:r>
      <w:r w:rsidR="008838A2">
        <w:rPr>
          <w:rFonts w:ascii="Calibri" w:hAnsi="Calibri" w:cs="Calibri"/>
          <w:sz w:val="22"/>
          <w:szCs w:val="22"/>
        </w:rPr>
        <w:t xml:space="preserve"> is launching a call for proposals to fund ambitious work to i</w:t>
      </w:r>
      <w:r>
        <w:rPr>
          <w:rFonts w:ascii="Calibri" w:hAnsi="Calibri" w:cs="Calibri"/>
          <w:sz w:val="22"/>
          <w:szCs w:val="22"/>
        </w:rPr>
        <w:t>ntegrate planning with a focus on concrete solutions that deliver multiple-benefits</w:t>
      </w:r>
      <w:r w:rsidR="008838A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12D9D76" w14:textId="77777777" w:rsidR="00A76E9C" w:rsidRDefault="008838A2" w:rsidP="00A76E9C">
      <w:pPr>
        <w:pStyle w:val="Body"/>
        <w:spacing w:line="276" w:lineRule="auto"/>
      </w:pPr>
      <w:r>
        <w:t xml:space="preserve">Funding proposals will be required to meet one or more of the following priorities: </w:t>
      </w:r>
    </w:p>
    <w:p w14:paraId="2DFE90BC" w14:textId="77777777" w:rsidR="00A76E9C" w:rsidRDefault="00A76E9C" w:rsidP="00A76E9C">
      <w:pPr>
        <w:pStyle w:val="Body"/>
        <w:spacing w:after="0" w:line="276" w:lineRule="auto"/>
        <w:ind w:left="720"/>
      </w:pPr>
      <w:r>
        <w:t xml:space="preserve">(1) development and mobilization of </w:t>
      </w:r>
      <w:r w:rsidRPr="003E27A8">
        <w:rPr>
          <w:b/>
        </w:rPr>
        <w:t>high-level political leadership</w:t>
      </w:r>
      <w:r>
        <w:t xml:space="preserve"> with a regional focus; </w:t>
      </w:r>
    </w:p>
    <w:p w14:paraId="1A03401C" w14:textId="5C086429" w:rsidR="00A76E9C" w:rsidRDefault="00A76E9C" w:rsidP="00A76E9C">
      <w:pPr>
        <w:pStyle w:val="Body"/>
        <w:spacing w:after="0" w:line="276" w:lineRule="auto"/>
        <w:ind w:left="720"/>
      </w:pPr>
      <w:r>
        <w:t xml:space="preserve">(2) targeted </w:t>
      </w:r>
      <w:r w:rsidRPr="003E27A8">
        <w:rPr>
          <w:b/>
        </w:rPr>
        <w:t>country-level support</w:t>
      </w:r>
      <w:r>
        <w:t xml:space="preserve"> to prove the approach; and </w:t>
      </w:r>
    </w:p>
    <w:p w14:paraId="09BF346A" w14:textId="77777777" w:rsidR="00A76E9C" w:rsidRDefault="00A76E9C" w:rsidP="00A76E9C">
      <w:pPr>
        <w:pStyle w:val="Body"/>
        <w:spacing w:line="276" w:lineRule="auto"/>
        <w:ind w:left="720"/>
      </w:pPr>
      <w:r>
        <w:t xml:space="preserve">(3) </w:t>
      </w:r>
      <w:r w:rsidRPr="003E27A8">
        <w:rPr>
          <w:b/>
        </w:rPr>
        <w:t>strong science, analytical support</w:t>
      </w:r>
      <w:r>
        <w:t xml:space="preserve"> and communications to fill knowledge gaps and build confidence.</w:t>
      </w:r>
    </w:p>
    <w:p w14:paraId="074A6981" w14:textId="77777777" w:rsidR="00A76E9C" w:rsidRPr="008747D1" w:rsidRDefault="00A76E9C" w:rsidP="00A76E9C">
      <w:pPr>
        <w:spacing w:line="276" w:lineRule="auto"/>
        <w:rPr>
          <w:rFonts w:ascii="Calibri" w:hAnsi="Calibri" w:cs="Calibri"/>
          <w:bCs/>
          <w:color w:val="2E74B5" w:themeColor="accent1" w:themeShade="BF"/>
        </w:rPr>
      </w:pPr>
      <w:r w:rsidRPr="008747D1">
        <w:rPr>
          <w:rFonts w:ascii="Calibri" w:hAnsi="Calibri" w:cs="Calibri"/>
          <w:b/>
          <w:bCs/>
          <w:color w:val="2E74B5" w:themeColor="accent1" w:themeShade="BF"/>
        </w:rPr>
        <w:t xml:space="preserve">1.1 </w:t>
      </w:r>
      <w:r w:rsidRPr="008747D1">
        <w:rPr>
          <w:rFonts w:ascii="Calibri" w:hAnsi="Calibri" w:cs="Calibri"/>
          <w:bCs/>
          <w:color w:val="2E74B5" w:themeColor="accent1" w:themeShade="BF"/>
        </w:rPr>
        <w:t xml:space="preserve"> </w:t>
      </w:r>
      <w:r w:rsidRPr="008747D1">
        <w:rPr>
          <w:rFonts w:ascii="Calibri" w:hAnsi="Calibri" w:cs="Calibri"/>
          <w:b/>
          <w:bCs/>
          <w:color w:val="2E74B5" w:themeColor="accent1" w:themeShade="BF"/>
        </w:rPr>
        <w:t>High Level Political Leadership</w:t>
      </w:r>
    </w:p>
    <w:p w14:paraId="4CBE26AC" w14:textId="77777777" w:rsidR="00A76E9C" w:rsidRDefault="005F6E55" w:rsidP="00A76E9C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Mobilizing high level political leadership is essential to gaining traction on sustainable and scalable clean air and climate solutions. Applications seeking funding under this category </w:t>
      </w:r>
      <w:r w:rsidR="00C429F6">
        <w:rPr>
          <w:rFonts w:ascii="Calibri" w:hAnsi="Calibri" w:cs="Calibri"/>
          <w:bCs/>
        </w:rPr>
        <w:t>must</w:t>
      </w:r>
      <w:r>
        <w:rPr>
          <w:rFonts w:ascii="Calibri" w:hAnsi="Calibri" w:cs="Calibri"/>
          <w:bCs/>
        </w:rPr>
        <w:t xml:space="preserve"> demonstrate how they would achieve this goal. An example of this would be r</w:t>
      </w:r>
      <w:r w:rsidR="00A76E9C">
        <w:rPr>
          <w:rFonts w:ascii="Calibri" w:hAnsi="Calibri" w:cs="Calibri"/>
          <w:bCs/>
        </w:rPr>
        <w:t>egional leadership dialogues, hosted by champion countries and partners</w:t>
      </w:r>
      <w:r w:rsidR="008838A2">
        <w:rPr>
          <w:rFonts w:ascii="Calibri" w:hAnsi="Calibri" w:cs="Calibri"/>
          <w:bCs/>
        </w:rPr>
        <w:t xml:space="preserve"> to </w:t>
      </w:r>
      <w:r w:rsidR="00A76E9C">
        <w:rPr>
          <w:rFonts w:ascii="Calibri" w:hAnsi="Calibri" w:cs="Calibri"/>
          <w:bCs/>
        </w:rPr>
        <w:t xml:space="preserve">increase engagement and provide an opportunity to share knowledge and help raise the ambition to tackle both climate change and air pollution using proven methodologies and policy measures. </w:t>
      </w:r>
    </w:p>
    <w:p w14:paraId="35DE5FCA" w14:textId="77777777" w:rsidR="00A76E9C" w:rsidRPr="008747D1" w:rsidRDefault="00A76E9C" w:rsidP="00A76E9C">
      <w:pPr>
        <w:pStyle w:val="NormalWeb"/>
        <w:shd w:val="clear" w:color="auto" w:fill="FDFDFD"/>
        <w:spacing w:before="240" w:beforeAutospacing="0" w:after="120" w:afterAutospacing="0" w:line="276" w:lineRule="auto"/>
        <w:rPr>
          <w:rFonts w:ascii="Calibri" w:hAnsi="Calibri" w:cs="Calibri"/>
          <w:bCs/>
          <w:color w:val="2E74B5" w:themeColor="accent1" w:themeShade="BF"/>
          <w:sz w:val="22"/>
          <w:szCs w:val="22"/>
        </w:rPr>
      </w:pPr>
      <w:r w:rsidRPr="008747D1">
        <w:rPr>
          <w:rFonts w:ascii="Calibri" w:hAnsi="Calibri" w:cs="Calibri"/>
          <w:b/>
          <w:bCs/>
          <w:color w:val="2E74B5" w:themeColor="accent1" w:themeShade="BF"/>
          <w:sz w:val="22"/>
          <w:szCs w:val="22"/>
        </w:rPr>
        <w:t>1.2. Technical Support and Assistance</w:t>
      </w:r>
    </w:p>
    <w:p w14:paraId="2F0D90EA" w14:textId="77777777" w:rsidR="00A76E9C" w:rsidRPr="005F797C" w:rsidRDefault="005F6E55" w:rsidP="00A76E9C">
      <w:pPr>
        <w:pStyle w:val="NormalWeb"/>
        <w:shd w:val="clear" w:color="auto" w:fill="FDFDFD"/>
        <w:spacing w:before="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The CCAC has demonstrated that there are cost-effective and technologically feasible opportunities to reduce SLCP emissions in a sustainable way. Further, the CCAC has helped</w:t>
      </w:r>
      <w:r w:rsidR="00C73440">
        <w:rPr>
          <w:rFonts w:ascii="Calibri" w:hAnsi="Calibri" w:cs="Calibri"/>
          <w:bCs/>
          <w:sz w:val="22"/>
          <w:szCs w:val="22"/>
        </w:rPr>
        <w:t xml:space="preserve"> </w:t>
      </w:r>
      <w:r w:rsidR="00A76E9C">
        <w:rPr>
          <w:rFonts w:ascii="Calibri" w:hAnsi="Calibri" w:cs="Calibri"/>
          <w:sz w:val="22"/>
          <w:szCs w:val="22"/>
        </w:rPr>
        <w:t>countries</w:t>
      </w:r>
      <w:r w:rsidR="00A76E9C" w:rsidRPr="005F797C">
        <w:rPr>
          <w:rFonts w:ascii="Calibri" w:hAnsi="Calibri" w:cs="Calibri"/>
          <w:sz w:val="22"/>
          <w:szCs w:val="22"/>
        </w:rPr>
        <w:t xml:space="preserve"> develop effective SLCP mitigation strategies</w:t>
      </w:r>
      <w:r w:rsidR="00A76E9C">
        <w:rPr>
          <w:rFonts w:ascii="Calibri" w:hAnsi="Calibri" w:cs="Calibri"/>
          <w:sz w:val="22"/>
          <w:szCs w:val="22"/>
        </w:rPr>
        <w:t xml:space="preserve"> - </w:t>
      </w:r>
      <w:r w:rsidR="00A76E9C" w:rsidRPr="005F797C">
        <w:rPr>
          <w:rFonts w:ascii="Calibri" w:hAnsi="Calibri" w:cs="Calibri"/>
          <w:sz w:val="22"/>
          <w:szCs w:val="22"/>
        </w:rPr>
        <w:t>identify</w:t>
      </w:r>
      <w:r w:rsidR="00A76E9C">
        <w:rPr>
          <w:rFonts w:ascii="Calibri" w:hAnsi="Calibri" w:cs="Calibri"/>
          <w:sz w:val="22"/>
          <w:szCs w:val="22"/>
        </w:rPr>
        <w:t>ing</w:t>
      </w:r>
      <w:r w:rsidR="00A76E9C" w:rsidRPr="005F797C">
        <w:rPr>
          <w:rFonts w:ascii="Calibri" w:hAnsi="Calibri" w:cs="Calibri"/>
          <w:sz w:val="22"/>
          <w:szCs w:val="22"/>
        </w:rPr>
        <w:t xml:space="preserve"> the quickest and most effective mitigation actions</w:t>
      </w:r>
      <w:r w:rsidR="00A76E9C">
        <w:rPr>
          <w:rFonts w:ascii="Calibri" w:hAnsi="Calibri" w:cs="Calibri"/>
          <w:sz w:val="22"/>
          <w:szCs w:val="22"/>
        </w:rPr>
        <w:t>,</w:t>
      </w:r>
      <w:r w:rsidR="00A76E9C" w:rsidRPr="005F797C">
        <w:rPr>
          <w:rFonts w:ascii="Calibri" w:hAnsi="Calibri" w:cs="Calibri"/>
          <w:sz w:val="22"/>
          <w:szCs w:val="22"/>
        </w:rPr>
        <w:t xml:space="preserve"> and find</w:t>
      </w:r>
      <w:r w:rsidR="00A76E9C">
        <w:rPr>
          <w:rFonts w:ascii="Calibri" w:hAnsi="Calibri" w:cs="Calibri"/>
          <w:sz w:val="22"/>
          <w:szCs w:val="22"/>
        </w:rPr>
        <w:t xml:space="preserve">ing </w:t>
      </w:r>
      <w:r w:rsidR="00A76E9C" w:rsidRPr="005F797C">
        <w:rPr>
          <w:rFonts w:ascii="Calibri" w:hAnsi="Calibri" w:cs="Calibri"/>
          <w:sz w:val="22"/>
          <w:szCs w:val="22"/>
        </w:rPr>
        <w:t>ways to embed these across government programmes.</w:t>
      </w:r>
      <w:r w:rsidR="00A76E9C">
        <w:rPr>
          <w:rFonts w:ascii="Calibri" w:hAnsi="Calibri" w:cs="Calibri"/>
          <w:sz w:val="22"/>
          <w:szCs w:val="22"/>
        </w:rPr>
        <w:t xml:space="preserve"> </w:t>
      </w:r>
    </w:p>
    <w:p w14:paraId="367D3441" w14:textId="77777777" w:rsidR="00A76E9C" w:rsidRDefault="005F6E55" w:rsidP="00A76E9C">
      <w:pPr>
        <w:pStyle w:val="NormalWeb"/>
        <w:shd w:val="clear" w:color="auto" w:fill="FDFDFD"/>
        <w:spacing w:before="0" w:beforeAutospacing="0" w:after="120" w:afterAutospacing="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Applications seeking funding under this category must demonstrate how they will </w:t>
      </w:r>
      <w:r w:rsidR="00A76E9C" w:rsidRPr="005F797C">
        <w:rPr>
          <w:rFonts w:ascii="Calibri" w:hAnsi="Calibri" w:cs="Calibri"/>
          <w:bCs/>
          <w:sz w:val="22"/>
          <w:szCs w:val="22"/>
        </w:rPr>
        <w:t xml:space="preserve">communicate </w:t>
      </w:r>
      <w:r w:rsidR="00A76E9C">
        <w:rPr>
          <w:rFonts w:ascii="Calibri" w:hAnsi="Calibri" w:cs="Calibri"/>
          <w:bCs/>
          <w:sz w:val="22"/>
          <w:szCs w:val="22"/>
        </w:rPr>
        <w:t xml:space="preserve">and support the application of </w:t>
      </w:r>
      <w:r>
        <w:rPr>
          <w:rFonts w:ascii="Calibri" w:hAnsi="Calibri" w:cs="Calibri"/>
          <w:bCs/>
          <w:sz w:val="22"/>
          <w:szCs w:val="22"/>
        </w:rPr>
        <w:t xml:space="preserve">the </w:t>
      </w:r>
      <w:r w:rsidR="00A76E9C">
        <w:rPr>
          <w:rFonts w:ascii="Calibri" w:hAnsi="Calibri" w:cs="Calibri"/>
          <w:bCs/>
          <w:sz w:val="22"/>
          <w:szCs w:val="22"/>
        </w:rPr>
        <w:t>“</w:t>
      </w:r>
      <w:r w:rsidR="00A76E9C" w:rsidRPr="005F797C">
        <w:rPr>
          <w:rFonts w:ascii="Calibri" w:hAnsi="Calibri" w:cs="Calibri"/>
          <w:bCs/>
          <w:sz w:val="22"/>
          <w:szCs w:val="22"/>
        </w:rPr>
        <w:t>multiple benefits pathway framework</w:t>
      </w:r>
      <w:r w:rsidR="00A76E9C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, ideally focused on responding to </w:t>
      </w:r>
      <w:r>
        <w:rPr>
          <w:rFonts w:ascii="Calibri" w:hAnsi="Calibri" w:cs="Calibri"/>
          <w:bCs/>
          <w:sz w:val="22"/>
          <w:szCs w:val="22"/>
        </w:rPr>
        <w:lastRenderedPageBreak/>
        <w:t>country requests and needs. Feasible integration into NDC revision and mid-long-term low-carbon strategy development processes would be an asset, as would a concrete opportunities t</w:t>
      </w:r>
      <w:r w:rsidR="00C73440">
        <w:rPr>
          <w:rFonts w:ascii="Calibri" w:hAnsi="Calibri" w:cs="Calibri"/>
          <w:bCs/>
          <w:sz w:val="22"/>
          <w:szCs w:val="22"/>
        </w:rPr>
        <w:t>o replicate and scale-up impact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A76E9C" w:rsidRPr="005F797C">
        <w:rPr>
          <w:rFonts w:ascii="Calibri" w:hAnsi="Calibri" w:cs="Calibri"/>
          <w:bCs/>
          <w:sz w:val="22"/>
          <w:szCs w:val="22"/>
        </w:rPr>
        <w:t xml:space="preserve"> </w:t>
      </w:r>
    </w:p>
    <w:p w14:paraId="7C4A73E2" w14:textId="77777777" w:rsidR="00A76E9C" w:rsidRPr="008747D1" w:rsidRDefault="00A76E9C" w:rsidP="00A76E9C">
      <w:pPr>
        <w:spacing w:line="276" w:lineRule="auto"/>
        <w:rPr>
          <w:rFonts w:ascii="Calibri" w:hAnsi="Calibri" w:cs="Calibri"/>
          <w:b/>
          <w:bCs/>
          <w:color w:val="2E74B5" w:themeColor="accent1" w:themeShade="BF"/>
        </w:rPr>
      </w:pPr>
      <w:r w:rsidRPr="008747D1">
        <w:rPr>
          <w:rFonts w:ascii="Calibri" w:hAnsi="Calibri" w:cs="Calibri"/>
          <w:b/>
          <w:bCs/>
          <w:color w:val="2E74B5" w:themeColor="accent1" w:themeShade="BF"/>
        </w:rPr>
        <w:t>1.3. Science and Analytical Support</w:t>
      </w:r>
    </w:p>
    <w:p w14:paraId="4F4C8FE0" w14:textId="77777777" w:rsidR="00A76E9C" w:rsidRDefault="005F6E55" w:rsidP="005F6E55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Further building on the science and knowledge generated and levereaged by the CCAC, including through the Science Advisory Panel, is necessary to </w:t>
      </w:r>
      <w:r w:rsidR="00A76E9C" w:rsidRPr="005F797C">
        <w:rPr>
          <w:rFonts w:ascii="Calibri" w:hAnsi="Calibri" w:cs="Calibri"/>
          <w:bCs/>
        </w:rPr>
        <w:t>deepen, refine, and advance the natural and social science investiga</w:t>
      </w:r>
      <w:bookmarkStart w:id="0" w:name="_GoBack"/>
      <w:bookmarkEnd w:id="0"/>
      <w:r w:rsidR="00A76E9C" w:rsidRPr="005F797C">
        <w:rPr>
          <w:rFonts w:ascii="Calibri" w:hAnsi="Calibri" w:cs="Calibri"/>
          <w:bCs/>
        </w:rPr>
        <w:t>tions that support our work. The health linkages and the socio-economic aspects o</w:t>
      </w:r>
      <w:r w:rsidR="00A76E9C">
        <w:rPr>
          <w:rFonts w:ascii="Calibri" w:hAnsi="Calibri" w:cs="Calibri"/>
          <w:bCs/>
        </w:rPr>
        <w:t>f</w:t>
      </w:r>
      <w:r w:rsidR="00A76E9C" w:rsidRPr="005F797C">
        <w:rPr>
          <w:rFonts w:ascii="Calibri" w:hAnsi="Calibri" w:cs="Calibri"/>
          <w:bCs/>
        </w:rPr>
        <w:t xml:space="preserve"> our work are particularly relevant.</w:t>
      </w:r>
    </w:p>
    <w:p w14:paraId="47385812" w14:textId="77777777" w:rsidR="00A76E9C" w:rsidRDefault="005F6E55" w:rsidP="00A76E9C">
      <w:pPr>
        <w:spacing w:line="276" w:lineRule="auto"/>
        <w:rPr>
          <w:rFonts w:ascii="Calibri" w:hAnsi="Calibri" w:cs="Calibri"/>
          <w:bCs/>
        </w:rPr>
      </w:pPr>
      <w:r w:rsidRPr="005F6E55">
        <w:rPr>
          <w:rFonts w:ascii="Calibri" w:hAnsi="Calibri" w:cs="Calibri"/>
          <w:bCs/>
        </w:rPr>
        <w:t>Application</w:t>
      </w:r>
      <w:r>
        <w:rPr>
          <w:rFonts w:ascii="Calibri" w:hAnsi="Calibri" w:cs="Calibri"/>
          <w:bCs/>
        </w:rPr>
        <w:t xml:space="preserve">s seeking funding under this category must demonstrate how they will </w:t>
      </w:r>
      <w:r w:rsidR="00A76E9C" w:rsidRPr="005F797C">
        <w:rPr>
          <w:rFonts w:ascii="Calibri" w:hAnsi="Calibri" w:cs="Calibri"/>
          <w:bCs/>
        </w:rPr>
        <w:t xml:space="preserve"> advance </w:t>
      </w:r>
      <w:r w:rsidR="00C429F6">
        <w:rPr>
          <w:rFonts w:ascii="Calibri" w:hAnsi="Calibri" w:cs="Calibri"/>
          <w:bCs/>
        </w:rPr>
        <w:t xml:space="preserve">science </w:t>
      </w:r>
      <w:r w:rsidR="00A76E9C" w:rsidRPr="005F797C">
        <w:rPr>
          <w:rFonts w:ascii="Calibri" w:hAnsi="Calibri" w:cs="Calibri"/>
          <w:bCs/>
        </w:rPr>
        <w:t xml:space="preserve">and analytical rigour in these domains to give decision-makers </w:t>
      </w:r>
      <w:r>
        <w:rPr>
          <w:rFonts w:ascii="Calibri" w:hAnsi="Calibri" w:cs="Calibri"/>
          <w:bCs/>
        </w:rPr>
        <w:t xml:space="preserve">increasingly strong foundations </w:t>
      </w:r>
      <w:r w:rsidR="00A76E9C" w:rsidRPr="005F797C">
        <w:rPr>
          <w:rFonts w:ascii="Calibri" w:hAnsi="Calibri" w:cs="Calibri"/>
          <w:bCs/>
        </w:rPr>
        <w:t>to act</w:t>
      </w:r>
      <w:r>
        <w:rPr>
          <w:rFonts w:ascii="Calibri" w:hAnsi="Calibri" w:cs="Calibri"/>
          <w:bCs/>
        </w:rPr>
        <w:t xml:space="preserve">. </w:t>
      </w:r>
      <w:r w:rsidR="00C429F6">
        <w:rPr>
          <w:rFonts w:ascii="Calibri" w:hAnsi="Calibri" w:cs="Calibri"/>
          <w:bCs/>
        </w:rPr>
        <w:t xml:space="preserve">This could be manifested in academic/scientific publications, or other engagements to build capacity to develop and deploy strategies to mitigate emissions of SLCPs. </w:t>
      </w:r>
      <w:r>
        <w:rPr>
          <w:rFonts w:ascii="Calibri" w:hAnsi="Calibri" w:cs="Calibri"/>
          <w:bCs/>
        </w:rPr>
        <w:t xml:space="preserve">Identifying openings </w:t>
      </w:r>
      <w:r w:rsidR="00A76E9C">
        <w:rPr>
          <w:rFonts w:ascii="Calibri" w:hAnsi="Calibri" w:cs="Calibri"/>
          <w:bCs/>
        </w:rPr>
        <w:t>for political leadership and technical support</w:t>
      </w:r>
      <w:r>
        <w:rPr>
          <w:rFonts w:ascii="Calibri" w:hAnsi="Calibri" w:cs="Calibri"/>
          <w:bCs/>
        </w:rPr>
        <w:t xml:space="preserve">, and clear </w:t>
      </w:r>
      <w:r w:rsidR="00A76E9C">
        <w:rPr>
          <w:rFonts w:ascii="Calibri" w:hAnsi="Calibri" w:cs="Calibri"/>
          <w:bCs/>
        </w:rPr>
        <w:t>coordinat</w:t>
      </w:r>
      <w:r>
        <w:rPr>
          <w:rFonts w:ascii="Calibri" w:hAnsi="Calibri" w:cs="Calibri"/>
          <w:bCs/>
        </w:rPr>
        <w:t>ion</w:t>
      </w:r>
      <w:r w:rsidR="00A76E9C">
        <w:rPr>
          <w:rFonts w:ascii="Calibri" w:hAnsi="Calibri" w:cs="Calibri"/>
          <w:bCs/>
        </w:rPr>
        <w:t xml:space="preserve"> with </w:t>
      </w:r>
      <w:r>
        <w:rPr>
          <w:rFonts w:ascii="Calibri" w:hAnsi="Calibri" w:cs="Calibri"/>
          <w:bCs/>
        </w:rPr>
        <w:t xml:space="preserve">the </w:t>
      </w:r>
      <w:r w:rsidR="00A76E9C">
        <w:rPr>
          <w:rFonts w:ascii="Calibri" w:hAnsi="Calibri" w:cs="Calibri"/>
          <w:bCs/>
        </w:rPr>
        <w:t xml:space="preserve">Scientific Advisory Panel and expert institutions </w:t>
      </w:r>
      <w:r>
        <w:rPr>
          <w:rFonts w:ascii="Calibri" w:hAnsi="Calibri" w:cs="Calibri"/>
          <w:bCs/>
        </w:rPr>
        <w:t xml:space="preserve">would </w:t>
      </w:r>
      <w:r w:rsidR="00C429F6">
        <w:rPr>
          <w:rFonts w:ascii="Calibri" w:hAnsi="Calibri" w:cs="Calibri"/>
          <w:bCs/>
        </w:rPr>
        <w:t xml:space="preserve">also </w:t>
      </w:r>
      <w:r>
        <w:rPr>
          <w:rFonts w:ascii="Calibri" w:hAnsi="Calibri" w:cs="Calibri"/>
          <w:bCs/>
        </w:rPr>
        <w:t>be an asset</w:t>
      </w:r>
      <w:r w:rsidR="00A76E9C">
        <w:rPr>
          <w:rFonts w:ascii="Calibri" w:hAnsi="Calibri" w:cs="Calibri"/>
          <w:bCs/>
        </w:rPr>
        <w:t>.</w:t>
      </w:r>
    </w:p>
    <w:p w14:paraId="57978042" w14:textId="77777777" w:rsidR="00A76E9C" w:rsidRPr="00A76E9C" w:rsidRDefault="00A76E9C" w:rsidP="00A76E9C">
      <w:pPr>
        <w:pStyle w:val="Heading1"/>
        <w:jc w:val="center"/>
        <w:rPr>
          <w:noProof w:val="0"/>
          <w:sz w:val="24"/>
          <w:szCs w:val="24"/>
          <w:lang w:val="en-GB"/>
        </w:rPr>
      </w:pPr>
    </w:p>
    <w:p w14:paraId="6A203605" w14:textId="77777777" w:rsidR="00A76E9C" w:rsidRPr="00A76E9C" w:rsidRDefault="00A76E9C" w:rsidP="00A76E9C">
      <w:pPr>
        <w:pStyle w:val="Heading1"/>
        <w:jc w:val="center"/>
        <w:rPr>
          <w:noProof w:val="0"/>
          <w:sz w:val="24"/>
          <w:szCs w:val="24"/>
          <w:lang w:val="en-CA"/>
        </w:rPr>
      </w:pPr>
    </w:p>
    <w:p w14:paraId="70C55A0B" w14:textId="77777777" w:rsidR="00A76E9C" w:rsidRPr="00A76E9C" w:rsidRDefault="00A76E9C" w:rsidP="00A76E9C">
      <w:pPr>
        <w:pStyle w:val="Heading1"/>
        <w:jc w:val="center"/>
        <w:rPr>
          <w:noProof w:val="0"/>
          <w:sz w:val="24"/>
          <w:szCs w:val="24"/>
          <w:lang w:val="en-CA"/>
        </w:rPr>
      </w:pPr>
    </w:p>
    <w:p w14:paraId="5E1C5E57" w14:textId="77777777" w:rsidR="00A76E9C" w:rsidRPr="00A76E9C" w:rsidRDefault="00A76E9C" w:rsidP="00A76E9C">
      <w:pPr>
        <w:pStyle w:val="Heading1"/>
        <w:jc w:val="center"/>
        <w:rPr>
          <w:noProof w:val="0"/>
          <w:sz w:val="24"/>
          <w:szCs w:val="24"/>
          <w:lang w:val="en-CA"/>
        </w:rPr>
      </w:pPr>
    </w:p>
    <w:p w14:paraId="015C23AC" w14:textId="77777777" w:rsidR="00A76E9C" w:rsidRPr="00A76E9C" w:rsidRDefault="00A76E9C" w:rsidP="00A76E9C">
      <w:pPr>
        <w:pStyle w:val="Heading1"/>
        <w:jc w:val="center"/>
        <w:rPr>
          <w:noProof w:val="0"/>
          <w:sz w:val="24"/>
          <w:szCs w:val="24"/>
          <w:lang w:val="en-CA"/>
        </w:rPr>
      </w:pPr>
    </w:p>
    <w:p w14:paraId="46D13ED2" w14:textId="77777777" w:rsidR="00A76E9C" w:rsidRDefault="00A76E9C" w:rsidP="00A76E9C">
      <w:pPr>
        <w:pStyle w:val="Heading1"/>
        <w:jc w:val="center"/>
        <w:rPr>
          <w:noProof w:val="0"/>
          <w:sz w:val="24"/>
          <w:szCs w:val="24"/>
          <w:lang w:val="en-CA"/>
        </w:rPr>
      </w:pPr>
    </w:p>
    <w:p w14:paraId="6463E71D" w14:textId="77777777" w:rsidR="00C73440" w:rsidRDefault="00C73440" w:rsidP="00A22FF9">
      <w:pPr>
        <w:rPr>
          <w:lang w:val="en-CA"/>
        </w:rPr>
      </w:pPr>
    </w:p>
    <w:p w14:paraId="67A62D42" w14:textId="77777777" w:rsidR="00C73440" w:rsidRDefault="00C73440" w:rsidP="00A22FF9">
      <w:pPr>
        <w:rPr>
          <w:lang w:val="en-CA"/>
        </w:rPr>
      </w:pPr>
    </w:p>
    <w:p w14:paraId="6D232221" w14:textId="77777777" w:rsidR="00C73440" w:rsidRDefault="00C73440" w:rsidP="00A22FF9">
      <w:pPr>
        <w:rPr>
          <w:lang w:val="en-CA"/>
        </w:rPr>
      </w:pPr>
    </w:p>
    <w:p w14:paraId="77E12E11" w14:textId="77777777" w:rsidR="00C73440" w:rsidRDefault="00C73440" w:rsidP="00A22FF9">
      <w:pPr>
        <w:rPr>
          <w:lang w:val="en-CA"/>
        </w:rPr>
      </w:pPr>
    </w:p>
    <w:p w14:paraId="14B1398A" w14:textId="77777777" w:rsidR="00C73440" w:rsidRDefault="00C73440" w:rsidP="00A22FF9">
      <w:pPr>
        <w:rPr>
          <w:lang w:val="en-CA"/>
        </w:rPr>
      </w:pPr>
    </w:p>
    <w:p w14:paraId="6DF9243E" w14:textId="77777777" w:rsidR="00C73440" w:rsidRDefault="00C73440" w:rsidP="00A22FF9">
      <w:pPr>
        <w:rPr>
          <w:lang w:val="en-CA"/>
        </w:rPr>
      </w:pPr>
    </w:p>
    <w:p w14:paraId="09F058CF" w14:textId="77777777" w:rsidR="00C73440" w:rsidRDefault="00C73440" w:rsidP="00A22FF9">
      <w:pPr>
        <w:rPr>
          <w:lang w:val="en-CA"/>
        </w:rPr>
      </w:pPr>
    </w:p>
    <w:p w14:paraId="648BC175" w14:textId="77777777" w:rsidR="00C73440" w:rsidRDefault="00C73440" w:rsidP="00A22FF9">
      <w:pPr>
        <w:rPr>
          <w:lang w:val="en-CA"/>
        </w:rPr>
      </w:pPr>
    </w:p>
    <w:p w14:paraId="6089918D" w14:textId="6C259B89" w:rsidR="00B933D4" w:rsidRDefault="00B933D4">
      <w:pPr>
        <w:suppressAutoHyphens w:val="0"/>
        <w:autoSpaceDN/>
        <w:spacing w:after="160" w:line="259" w:lineRule="auto"/>
        <w:textAlignment w:val="auto"/>
        <w:rPr>
          <w:lang w:val="en-CA"/>
        </w:rPr>
      </w:pPr>
      <w:r>
        <w:rPr>
          <w:lang w:val="en-CA"/>
        </w:rPr>
        <w:br w:type="page"/>
      </w:r>
    </w:p>
    <w:p w14:paraId="18A1A538" w14:textId="77777777" w:rsidR="00A76E9C" w:rsidRPr="00A76E9C" w:rsidRDefault="00A76E9C" w:rsidP="00A76E9C">
      <w:pPr>
        <w:pStyle w:val="Heading1"/>
        <w:jc w:val="center"/>
        <w:rPr>
          <w:noProof w:val="0"/>
          <w:sz w:val="24"/>
          <w:szCs w:val="24"/>
          <w:lang w:val="fr-CA"/>
        </w:rPr>
      </w:pPr>
      <w:r w:rsidRPr="00A76E9C">
        <w:rPr>
          <w:noProof w:val="0"/>
          <w:sz w:val="24"/>
          <w:szCs w:val="24"/>
          <w:lang w:val="fr-CA"/>
        </w:rPr>
        <w:lastRenderedPageBreak/>
        <w:t xml:space="preserve">Action Programme </w:t>
      </w:r>
      <w:r>
        <w:rPr>
          <w:noProof w:val="0"/>
          <w:sz w:val="24"/>
          <w:szCs w:val="24"/>
          <w:lang w:val="fr-CA"/>
        </w:rPr>
        <w:t>Concept Note</w:t>
      </w:r>
    </w:p>
    <w:p w14:paraId="0C4C0467" w14:textId="77777777" w:rsidR="00A76E9C" w:rsidRPr="00F646D3" w:rsidRDefault="00A76E9C" w:rsidP="00A76E9C">
      <w:pPr>
        <w:pStyle w:val="Heading1"/>
        <w:rPr>
          <w:noProof w:val="0"/>
          <w:lang w:val="en-GB"/>
        </w:rPr>
      </w:pPr>
      <w:bookmarkStart w:id="1" w:name="_PART_I:_COVER"/>
      <w:bookmarkEnd w:id="1"/>
      <w:r w:rsidRPr="00F646D3">
        <w:rPr>
          <w:noProof w:val="0"/>
          <w:lang w:val="en-GB"/>
        </w:rPr>
        <w:t xml:space="preserve">PART I: COVER PAGE </w:t>
      </w:r>
    </w:p>
    <w:tbl>
      <w:tblPr>
        <w:tblStyle w:val="GridTable4-Accent11"/>
        <w:tblW w:w="5169" w:type="pct"/>
        <w:tblInd w:w="-147" w:type="dxa"/>
        <w:tblLook w:val="04A0" w:firstRow="1" w:lastRow="0" w:firstColumn="1" w:lastColumn="0" w:noHBand="0" w:noVBand="1"/>
      </w:tblPr>
      <w:tblGrid>
        <w:gridCol w:w="3286"/>
        <w:gridCol w:w="6380"/>
      </w:tblGrid>
      <w:tr w:rsidR="00A76E9C" w:rsidRPr="00F646D3" w14:paraId="647E1C35" w14:textId="77777777" w:rsidTr="00A76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  <w:shd w:val="clear" w:color="auto" w:fill="2E74B5" w:themeFill="accent1" w:themeFillShade="BF"/>
          </w:tcPr>
          <w:p w14:paraId="5B519997" w14:textId="77777777" w:rsidR="00A76E9C" w:rsidRPr="00F646D3" w:rsidRDefault="00A76E9C" w:rsidP="00A82752">
            <w:pPr>
              <w:spacing w:after="0"/>
              <w:rPr>
                <w:noProof w:val="0"/>
              </w:rPr>
            </w:pPr>
            <w:r w:rsidRPr="00F646D3">
              <w:rPr>
                <w:noProof w:val="0"/>
              </w:rPr>
              <w:t xml:space="preserve">Summary Table </w:t>
            </w:r>
          </w:p>
        </w:tc>
      </w:tr>
      <w:tr w:rsidR="00A76E9C" w:rsidRPr="00F646D3" w14:paraId="3764EBF1" w14:textId="77777777" w:rsidTr="00A2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  <w:hideMark/>
          </w:tcPr>
          <w:p w14:paraId="550CFBBD" w14:textId="77777777" w:rsidR="00A76E9C" w:rsidRPr="00F646D3" w:rsidRDefault="00A76E9C" w:rsidP="00A82752">
            <w:pPr>
              <w:spacing w:after="0"/>
              <w:rPr>
                <w:noProof w:val="0"/>
                <w:color w:val="FFFFFF" w:themeColor="background1"/>
              </w:rPr>
            </w:pPr>
            <w:r w:rsidRPr="00F646D3">
              <w:rPr>
                <w:noProof w:val="0"/>
                <w:color w:val="FFFFFF" w:themeColor="background1"/>
              </w:rPr>
              <w:t xml:space="preserve">Title  </w:t>
            </w:r>
          </w:p>
        </w:tc>
        <w:tc>
          <w:tcPr>
            <w:tcW w:w="6380" w:type="dxa"/>
          </w:tcPr>
          <w:p w14:paraId="6E225D5F" w14:textId="77777777" w:rsidR="00A76E9C" w:rsidRPr="00F646D3" w:rsidRDefault="00A76E9C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 w:rsidRPr="00F646D3">
              <w:rPr>
                <w:noProof w:val="0"/>
              </w:rPr>
              <w:t>[Please indicate a title for the proposed concept]</w:t>
            </w:r>
          </w:p>
        </w:tc>
      </w:tr>
      <w:tr w:rsidR="00E56FB4" w:rsidRPr="00F646D3" w14:paraId="212CF451" w14:textId="77777777" w:rsidTr="00A22F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</w:tcPr>
          <w:p w14:paraId="35BC3BB7" w14:textId="77777777" w:rsidR="00E56FB4" w:rsidRPr="00F646D3" w:rsidRDefault="00E56FB4" w:rsidP="00A82752">
            <w:pPr>
              <w:spacing w:after="0"/>
              <w:rPr>
                <w:noProof w:val="0"/>
                <w:color w:val="FFFFFF" w:themeColor="background1"/>
              </w:rPr>
            </w:pPr>
            <w:r>
              <w:rPr>
                <w:noProof w:val="0"/>
                <w:color w:val="FFFFFF" w:themeColor="background1"/>
              </w:rPr>
              <w:t>Date (if applicable)</w:t>
            </w:r>
          </w:p>
        </w:tc>
        <w:tc>
          <w:tcPr>
            <w:tcW w:w="6380" w:type="dxa"/>
          </w:tcPr>
          <w:p w14:paraId="114BBA0B" w14:textId="77777777" w:rsidR="00E56FB4" w:rsidRPr="00F646D3" w:rsidRDefault="00E56FB4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E56FB4" w:rsidRPr="00F646D3" w14:paraId="59EC54E3" w14:textId="77777777" w:rsidTr="00A2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</w:tcPr>
          <w:p w14:paraId="54A5835E" w14:textId="77777777" w:rsidR="00E56FB4" w:rsidRPr="00F646D3" w:rsidRDefault="00E56FB4" w:rsidP="00A82752">
            <w:pPr>
              <w:spacing w:after="0"/>
              <w:rPr>
                <w:noProof w:val="0"/>
                <w:color w:val="FFFFFF" w:themeColor="background1"/>
              </w:rPr>
            </w:pPr>
            <w:r>
              <w:rPr>
                <w:noProof w:val="0"/>
                <w:color w:val="FFFFFF" w:themeColor="background1"/>
              </w:rPr>
              <w:t>Location (if applicable)</w:t>
            </w:r>
          </w:p>
        </w:tc>
        <w:tc>
          <w:tcPr>
            <w:tcW w:w="6380" w:type="dxa"/>
          </w:tcPr>
          <w:p w14:paraId="6CAD92F9" w14:textId="77777777" w:rsidR="00E56FB4" w:rsidRPr="00F646D3" w:rsidRDefault="00E56FB4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A76E9C" w:rsidRPr="00F646D3" w14:paraId="4282BD12" w14:textId="77777777" w:rsidTr="00A22F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</w:tcPr>
          <w:p w14:paraId="5A81812C" w14:textId="77777777" w:rsidR="00A76E9C" w:rsidRPr="00F646D3" w:rsidRDefault="00A76E9C" w:rsidP="00A82752">
            <w:pPr>
              <w:spacing w:after="0"/>
              <w:rPr>
                <w:noProof w:val="0"/>
                <w:color w:val="FFFFFF" w:themeColor="background1"/>
              </w:rPr>
            </w:pPr>
            <w:r w:rsidRPr="00F646D3">
              <w:rPr>
                <w:noProof w:val="0"/>
                <w:color w:val="FFFFFF" w:themeColor="background1"/>
              </w:rPr>
              <w:t>Proposal Proponents</w:t>
            </w:r>
          </w:p>
        </w:tc>
        <w:tc>
          <w:tcPr>
            <w:tcW w:w="6380" w:type="dxa"/>
          </w:tcPr>
          <w:p w14:paraId="354566BA" w14:textId="77777777" w:rsidR="00A76E9C" w:rsidRPr="00F646D3" w:rsidRDefault="00A76E9C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 w:rsidRPr="00F646D3">
              <w:rPr>
                <w:noProof w:val="0"/>
              </w:rPr>
              <w:t>[Please list the names and contact informa</w:t>
            </w:r>
            <w:r>
              <w:rPr>
                <w:noProof w:val="0"/>
              </w:rPr>
              <w:t>tion of the proposal proponents</w:t>
            </w:r>
            <w:r w:rsidRPr="00F646D3">
              <w:rPr>
                <w:noProof w:val="0"/>
              </w:rPr>
              <w:t>]</w:t>
            </w:r>
          </w:p>
        </w:tc>
      </w:tr>
      <w:tr w:rsidR="00A76E9C" w:rsidRPr="00F646D3" w14:paraId="724041A5" w14:textId="77777777" w:rsidTr="00A2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</w:tcPr>
          <w:p w14:paraId="2C9C2AAA" w14:textId="4F6BD64F" w:rsidR="00A76E9C" w:rsidRPr="00F646D3" w:rsidRDefault="00A22FF9" w:rsidP="00A82752">
            <w:pPr>
              <w:spacing w:after="0"/>
              <w:rPr>
                <w:noProof w:val="0"/>
                <w:color w:val="FFFFFF" w:themeColor="background1"/>
              </w:rPr>
            </w:pPr>
            <w:r>
              <w:rPr>
                <w:noProof w:val="0"/>
                <w:color w:val="FFFFFF" w:themeColor="background1"/>
              </w:rPr>
              <w:t>Country[</w:t>
            </w:r>
            <w:proofErr w:type="spellStart"/>
            <w:r>
              <w:rPr>
                <w:noProof w:val="0"/>
                <w:color w:val="FFFFFF" w:themeColor="background1"/>
              </w:rPr>
              <w:t>ies</w:t>
            </w:r>
            <w:proofErr w:type="spellEnd"/>
            <w:r>
              <w:rPr>
                <w:noProof w:val="0"/>
                <w:color w:val="FFFFFF" w:themeColor="background1"/>
              </w:rPr>
              <w:t>]/Organizations of Focus</w:t>
            </w:r>
            <w:r>
              <w:rPr>
                <w:rStyle w:val="FootnoteReference"/>
                <w:noProof w:val="0"/>
                <w:color w:val="FFFFFF" w:themeColor="background1"/>
              </w:rPr>
              <w:footnoteReference w:id="1"/>
            </w:r>
          </w:p>
        </w:tc>
        <w:tc>
          <w:tcPr>
            <w:tcW w:w="6380" w:type="dxa"/>
          </w:tcPr>
          <w:p w14:paraId="7E1D8E66" w14:textId="77777777" w:rsidR="00A76E9C" w:rsidRPr="00F646D3" w:rsidRDefault="00A76E9C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 w:rsidRPr="00F646D3">
              <w:rPr>
                <w:noProof w:val="0"/>
              </w:rPr>
              <w:t xml:space="preserve">[List </w:t>
            </w:r>
            <w:r w:rsidR="00E56FB4">
              <w:rPr>
                <w:noProof w:val="0"/>
              </w:rPr>
              <w:t>countries seeking support]</w:t>
            </w:r>
          </w:p>
          <w:p w14:paraId="4EECECAB" w14:textId="77777777" w:rsidR="00A76E9C" w:rsidRPr="00F646D3" w:rsidRDefault="00A76E9C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A76E9C" w:rsidRPr="00F646D3" w14:paraId="3FDF18C7" w14:textId="77777777" w:rsidTr="00A22F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</w:tcPr>
          <w:p w14:paraId="26235BDE" w14:textId="77777777" w:rsidR="00A76E9C" w:rsidRPr="00F646D3" w:rsidRDefault="00E56FB4" w:rsidP="00A82752">
            <w:pPr>
              <w:spacing w:after="0"/>
              <w:rPr>
                <w:noProof w:val="0"/>
                <w:color w:val="FFFFFF" w:themeColor="background1"/>
              </w:rPr>
            </w:pPr>
            <w:r>
              <w:rPr>
                <w:noProof w:val="0"/>
                <w:color w:val="FFFFFF" w:themeColor="background1"/>
              </w:rPr>
              <w:t>Priority Area</w:t>
            </w:r>
          </w:p>
        </w:tc>
        <w:tc>
          <w:tcPr>
            <w:tcW w:w="6380" w:type="dxa"/>
          </w:tcPr>
          <w:p w14:paraId="3588101E" w14:textId="77777777" w:rsidR="00A76E9C" w:rsidRPr="00F646D3" w:rsidRDefault="00A76E9C" w:rsidP="00E56FB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 w:rsidRPr="00F646D3">
              <w:rPr>
                <w:noProof w:val="0"/>
              </w:rPr>
              <w:t xml:space="preserve">[Please </w:t>
            </w:r>
            <w:r w:rsidR="00E56FB4">
              <w:rPr>
                <w:noProof w:val="0"/>
              </w:rPr>
              <w:t>indicate the priority area the proposal aims to deliver on]</w:t>
            </w:r>
            <w:r w:rsidRPr="00F646D3">
              <w:rPr>
                <w:noProof w:val="0"/>
              </w:rPr>
              <w:t xml:space="preserve"> </w:t>
            </w:r>
          </w:p>
        </w:tc>
      </w:tr>
      <w:tr w:rsidR="00A22FF9" w:rsidRPr="00F646D3" w14:paraId="1EA4F41B" w14:textId="77777777" w:rsidTr="00A2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2E74B5" w:themeFill="accent1" w:themeFillShade="BF"/>
          </w:tcPr>
          <w:p w14:paraId="6CC667E0" w14:textId="77777777" w:rsidR="00A22FF9" w:rsidRDefault="00A22FF9" w:rsidP="00A22FF9">
            <w:pPr>
              <w:spacing w:after="0"/>
              <w:rPr>
                <w:noProof w:val="0"/>
                <w:color w:val="FFFFFF" w:themeColor="background1"/>
              </w:rPr>
            </w:pPr>
            <w:r>
              <w:rPr>
                <w:noProof w:val="0"/>
                <w:color w:val="FFFFFF" w:themeColor="background1"/>
              </w:rPr>
              <w:t>Funding Requested</w:t>
            </w:r>
            <w:r>
              <w:rPr>
                <w:rStyle w:val="FootnoteReference"/>
                <w:noProof w:val="0"/>
                <w:color w:val="FFFFFF" w:themeColor="background1"/>
              </w:rPr>
              <w:footnoteReference w:id="2"/>
            </w:r>
          </w:p>
        </w:tc>
        <w:tc>
          <w:tcPr>
            <w:tcW w:w="6380" w:type="dxa"/>
          </w:tcPr>
          <w:p w14:paraId="128BF78F" w14:textId="77777777" w:rsidR="00A22FF9" w:rsidRPr="00F646D3" w:rsidRDefault="00A22FF9" w:rsidP="00A22F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[please indicate the amount of funding requested]</w:t>
            </w:r>
          </w:p>
        </w:tc>
      </w:tr>
    </w:tbl>
    <w:p w14:paraId="39356A67" w14:textId="77777777" w:rsidR="00A76E9C" w:rsidRPr="00F646D3" w:rsidRDefault="00A76E9C" w:rsidP="00A76E9C">
      <w:pPr>
        <w:rPr>
          <w:noProof w:val="0"/>
        </w:rPr>
      </w:pPr>
    </w:p>
    <w:p w14:paraId="513FCCE8" w14:textId="77777777" w:rsidR="00A76E9C" w:rsidRPr="00F646D3" w:rsidRDefault="00A76E9C" w:rsidP="00A76E9C">
      <w:pPr>
        <w:pStyle w:val="Heading1"/>
        <w:rPr>
          <w:noProof w:val="0"/>
          <w:lang w:val="en-GB"/>
        </w:rPr>
      </w:pPr>
      <w:r w:rsidRPr="00F646D3">
        <w:rPr>
          <w:noProof w:val="0"/>
          <w:lang w:val="en-GB"/>
        </w:rPr>
        <w:t>PART II: CONCEPT NOTE</w:t>
      </w:r>
    </w:p>
    <w:p w14:paraId="17A4B1CE" w14:textId="77777777" w:rsidR="00A76E9C" w:rsidRPr="00827669" w:rsidRDefault="00A76E9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7CAAC" w:themeFill="accent2" w:themeFillTint="66"/>
        <w:spacing w:after="0"/>
        <w:jc w:val="center"/>
        <w:rPr>
          <w:i/>
          <w:noProof w:val="0"/>
          <w:color w:val="FF0000"/>
          <w:u w:val="single"/>
        </w:rPr>
      </w:pPr>
      <w:r w:rsidRPr="00A22FF9">
        <w:rPr>
          <w:i/>
          <w:noProof w:val="0"/>
          <w:color w:val="FF0000"/>
          <w:u w:val="single"/>
        </w:rPr>
        <w:t xml:space="preserve">Part II must not exceed </w:t>
      </w:r>
      <w:r w:rsidR="00C73440" w:rsidRPr="00A22FF9">
        <w:rPr>
          <w:i/>
          <w:noProof w:val="0"/>
          <w:color w:val="FF0000"/>
          <w:u w:val="single"/>
        </w:rPr>
        <w:t xml:space="preserve">two </w:t>
      </w:r>
      <w:r w:rsidRPr="00A22FF9">
        <w:rPr>
          <w:i/>
          <w:noProof w:val="0"/>
          <w:color w:val="FF0000"/>
          <w:u w:val="single"/>
        </w:rPr>
        <w:t>(</w:t>
      </w:r>
      <w:r w:rsidR="00AE5429">
        <w:rPr>
          <w:i/>
          <w:noProof w:val="0"/>
          <w:color w:val="FF0000"/>
          <w:u w:val="single"/>
        </w:rPr>
        <w:t>2</w:t>
      </w:r>
      <w:r w:rsidRPr="00A22FF9">
        <w:rPr>
          <w:i/>
          <w:noProof w:val="0"/>
          <w:color w:val="FF0000"/>
          <w:u w:val="single"/>
        </w:rPr>
        <w:t>) pages</w:t>
      </w:r>
      <w:r w:rsidR="00827669" w:rsidRPr="00A22FF9">
        <w:rPr>
          <w:i/>
          <w:noProof w:val="0"/>
          <w:color w:val="FF0000"/>
          <w:u w:val="single"/>
        </w:rPr>
        <w:t>,</w:t>
      </w:r>
      <w:r w:rsidR="00827669" w:rsidRPr="00827669">
        <w:rPr>
          <w:i/>
          <w:noProof w:val="0"/>
          <w:color w:val="FF0000"/>
          <w:u w:val="single"/>
        </w:rPr>
        <w:t xml:space="preserve"> </w:t>
      </w:r>
      <w:r w:rsidR="00827669">
        <w:rPr>
          <w:i/>
          <w:noProof w:val="0"/>
          <w:color w:val="FF0000"/>
          <w:u w:val="single"/>
        </w:rPr>
        <w:t>C</w:t>
      </w:r>
      <w:r w:rsidRPr="00827669">
        <w:rPr>
          <w:i/>
          <w:noProof w:val="0"/>
          <w:color w:val="FF0000"/>
          <w:u w:val="single"/>
        </w:rPr>
        <w:t>alibri 11 point with single line spacing.</w:t>
      </w:r>
    </w:p>
    <w:p w14:paraId="2445F74A" w14:textId="77777777" w:rsidR="00A22FF9" w:rsidRDefault="00A22FF9" w:rsidP="00A22FF9">
      <w:pPr>
        <w:spacing w:after="0"/>
        <w:rPr>
          <w:b/>
          <w:noProof w:val="0"/>
        </w:rPr>
      </w:pPr>
    </w:p>
    <w:p w14:paraId="2B2CA85A" w14:textId="77777777" w:rsidR="00A22FF9" w:rsidRDefault="00A22FF9" w:rsidP="00A22FF9">
      <w:pPr>
        <w:spacing w:after="0"/>
        <w:rPr>
          <w:b/>
        </w:rPr>
      </w:pPr>
      <w:r>
        <w:rPr>
          <w:b/>
        </w:rPr>
        <w:t>Proposal Summary</w:t>
      </w:r>
    </w:p>
    <w:p w14:paraId="6B434FB2" w14:textId="77777777" w:rsidR="00A22FF9" w:rsidRPr="008D46F9" w:rsidRDefault="00A22FF9" w:rsidP="00A22FF9">
      <w:pPr>
        <w:spacing w:after="0"/>
      </w:pPr>
      <w:r w:rsidRPr="008D46F9">
        <w:t>A description of, and rationale for, the proposal. This may include:</w:t>
      </w:r>
    </w:p>
    <w:p w14:paraId="1055590D" w14:textId="77777777" w:rsidR="00A22FF9" w:rsidRDefault="00A22FF9" w:rsidP="00A22FF9">
      <w:pPr>
        <w:pStyle w:val="ListParagraph"/>
        <w:numPr>
          <w:ilvl w:val="0"/>
          <w:numId w:val="7"/>
        </w:numPr>
        <w:rPr>
          <w:rFonts w:asciiTheme="minorHAnsi" w:hAnsiTheme="minorHAnsi"/>
          <w:i/>
          <w:noProof w:val="0"/>
          <w:sz w:val="22"/>
          <w:szCs w:val="22"/>
          <w:lang w:val="en-GB"/>
        </w:rPr>
      </w:pPr>
      <w:r>
        <w:rPr>
          <w:rFonts w:asciiTheme="minorHAnsi" w:hAnsiTheme="minorHAnsi"/>
          <w:i/>
          <w:noProof w:val="0"/>
          <w:sz w:val="22"/>
          <w:szCs w:val="22"/>
          <w:lang w:val="en-GB"/>
        </w:rPr>
        <w:t>How the proposal</w:t>
      </w:r>
      <w:r w:rsidRPr="00C73440">
        <w:rPr>
          <w:rFonts w:asciiTheme="minorHAnsi" w:hAnsiTheme="minorHAnsi"/>
          <w:i/>
          <w:noProof w:val="0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i/>
          <w:noProof w:val="0"/>
          <w:sz w:val="22"/>
          <w:szCs w:val="22"/>
          <w:lang w:val="en-GB"/>
        </w:rPr>
        <w:t>helps meet</w:t>
      </w:r>
      <w:r w:rsidRPr="00C73440">
        <w:rPr>
          <w:rFonts w:asciiTheme="minorHAnsi" w:hAnsiTheme="minorHAnsi"/>
          <w:i/>
          <w:noProof w:val="0"/>
          <w:sz w:val="22"/>
          <w:szCs w:val="22"/>
          <w:lang w:val="en-GB"/>
        </w:rPr>
        <w:t xml:space="preserve"> the ambition of the 1.5 degree report;</w:t>
      </w:r>
    </w:p>
    <w:p w14:paraId="35460517" w14:textId="77777777" w:rsidR="00A22FF9" w:rsidRDefault="00A22FF9" w:rsidP="00A22FF9">
      <w:pPr>
        <w:pStyle w:val="ListParagraph"/>
        <w:numPr>
          <w:ilvl w:val="0"/>
          <w:numId w:val="7"/>
        </w:numPr>
        <w:rPr>
          <w:rFonts w:asciiTheme="minorHAnsi" w:hAnsiTheme="minorHAnsi"/>
          <w:i/>
          <w:noProof w:val="0"/>
          <w:sz w:val="22"/>
          <w:szCs w:val="22"/>
          <w:lang w:val="en-GB"/>
        </w:rPr>
      </w:pPr>
      <w:r>
        <w:rPr>
          <w:rFonts w:asciiTheme="minorHAnsi" w:hAnsiTheme="minorHAnsi"/>
          <w:i/>
          <w:noProof w:val="0"/>
          <w:sz w:val="22"/>
          <w:szCs w:val="22"/>
          <w:lang w:val="en-GB"/>
        </w:rPr>
        <w:t xml:space="preserve">How it is linked to revised NDCs and/or other national development strategy; </w:t>
      </w:r>
    </w:p>
    <w:p w14:paraId="5A3E1420" w14:textId="77777777" w:rsidR="00A22FF9" w:rsidRPr="00C73440" w:rsidRDefault="00A22FF9" w:rsidP="00A22FF9">
      <w:pPr>
        <w:pStyle w:val="ListParagraph"/>
        <w:numPr>
          <w:ilvl w:val="0"/>
          <w:numId w:val="7"/>
        </w:numPr>
        <w:rPr>
          <w:rFonts w:asciiTheme="minorHAnsi" w:hAnsiTheme="minorHAnsi"/>
          <w:i/>
          <w:noProof w:val="0"/>
          <w:sz w:val="22"/>
          <w:szCs w:val="22"/>
          <w:lang w:val="en-GB"/>
        </w:rPr>
      </w:pPr>
      <w:r>
        <w:rPr>
          <w:rFonts w:asciiTheme="minorHAnsi" w:hAnsiTheme="minorHAnsi"/>
          <w:i/>
          <w:noProof w:val="0"/>
          <w:sz w:val="22"/>
          <w:szCs w:val="22"/>
          <w:lang w:val="en-GB"/>
        </w:rPr>
        <w:t xml:space="preserve">How it links air quality and climate change; </w:t>
      </w:r>
    </w:p>
    <w:p w14:paraId="1A97087D" w14:textId="77777777" w:rsidR="00A22FF9" w:rsidRDefault="00A22FF9" w:rsidP="00A22FF9">
      <w:pPr>
        <w:pStyle w:val="ListParagraph"/>
        <w:numPr>
          <w:ilvl w:val="0"/>
          <w:numId w:val="7"/>
        </w:numPr>
        <w:rPr>
          <w:rFonts w:asciiTheme="minorHAnsi" w:hAnsiTheme="minorHAnsi"/>
          <w:i/>
          <w:noProof w:val="0"/>
          <w:sz w:val="22"/>
          <w:szCs w:val="22"/>
          <w:lang w:val="en-GB"/>
        </w:rPr>
      </w:pPr>
      <w:r>
        <w:rPr>
          <w:rFonts w:asciiTheme="minorHAnsi" w:hAnsiTheme="minorHAnsi"/>
          <w:i/>
          <w:noProof w:val="0"/>
          <w:sz w:val="22"/>
          <w:szCs w:val="22"/>
          <w:lang w:val="en-GB"/>
        </w:rPr>
        <w:t>How it will achieve results by end of 2020; and</w:t>
      </w:r>
    </w:p>
    <w:p w14:paraId="2F2D565D" w14:textId="77777777" w:rsidR="00A22FF9" w:rsidRPr="00022BBA" w:rsidRDefault="00A22FF9" w:rsidP="00A22FF9">
      <w:pPr>
        <w:pStyle w:val="ListParagraph"/>
        <w:numPr>
          <w:ilvl w:val="0"/>
          <w:numId w:val="7"/>
        </w:numPr>
        <w:rPr>
          <w:rFonts w:asciiTheme="minorHAnsi" w:hAnsiTheme="minorHAnsi"/>
          <w:i/>
          <w:noProof w:val="0"/>
          <w:sz w:val="22"/>
          <w:szCs w:val="22"/>
          <w:lang w:val="en-GB"/>
        </w:rPr>
      </w:pPr>
      <w:r w:rsidRPr="009F0AF8">
        <w:rPr>
          <w:rFonts w:asciiTheme="minorHAnsi" w:hAnsiTheme="minorHAnsi"/>
          <w:i/>
          <w:noProof w:val="0"/>
          <w:sz w:val="22"/>
          <w:szCs w:val="22"/>
          <w:lang w:val="en-GB"/>
        </w:rPr>
        <w:t xml:space="preserve">How </w:t>
      </w:r>
      <w:r w:rsidRPr="00022BBA">
        <w:rPr>
          <w:rFonts w:asciiTheme="minorHAnsi" w:hAnsiTheme="minorHAnsi"/>
          <w:i/>
          <w:noProof w:val="0"/>
          <w:sz w:val="22"/>
          <w:szCs w:val="22"/>
          <w:lang w:val="en-GB"/>
        </w:rPr>
        <w:t xml:space="preserve">it meets </w:t>
      </w:r>
      <w:r>
        <w:rPr>
          <w:rFonts w:asciiTheme="minorHAnsi" w:hAnsiTheme="minorHAnsi"/>
          <w:i/>
          <w:noProof w:val="0"/>
          <w:sz w:val="22"/>
          <w:szCs w:val="22"/>
          <w:lang w:val="en-GB"/>
        </w:rPr>
        <w:t>the three pillars of the Action Programme (h</w:t>
      </w:r>
      <w:r w:rsidRPr="00022BBA">
        <w:rPr>
          <w:rFonts w:asciiTheme="minorHAnsi" w:hAnsiTheme="minorHAnsi"/>
          <w:i/>
          <w:noProof w:val="0"/>
          <w:sz w:val="22"/>
          <w:szCs w:val="22"/>
          <w:lang w:val="en-GB"/>
        </w:rPr>
        <w:t>igh-level political leadership; Technical support and analysis; and/or Science and analytic support.</w:t>
      </w:r>
      <w:r>
        <w:rPr>
          <w:rFonts w:asciiTheme="minorHAnsi" w:hAnsiTheme="minorHAnsi"/>
          <w:i/>
          <w:noProof w:val="0"/>
          <w:sz w:val="22"/>
          <w:szCs w:val="22"/>
          <w:lang w:val="en-GB"/>
        </w:rPr>
        <w:t>)</w:t>
      </w:r>
    </w:p>
    <w:p w14:paraId="7956F50A" w14:textId="77777777" w:rsidR="00A22FF9" w:rsidRDefault="00A22FF9" w:rsidP="00A22FF9">
      <w:pPr>
        <w:spacing w:after="0"/>
        <w:rPr>
          <w:b/>
          <w:noProof w:val="0"/>
          <w:lang w:val="en-CA"/>
        </w:rPr>
      </w:pPr>
    </w:p>
    <w:p w14:paraId="180376DF" w14:textId="77777777" w:rsidR="00A22FF9" w:rsidRPr="00022BBA" w:rsidRDefault="00A22FF9" w:rsidP="00A22FF9">
      <w:pPr>
        <w:spacing w:after="0"/>
        <w:rPr>
          <w:b/>
          <w:noProof w:val="0"/>
          <w:lang w:val="en-CA"/>
        </w:rPr>
      </w:pPr>
      <w:r w:rsidRPr="00022BBA">
        <w:rPr>
          <w:b/>
          <w:noProof w:val="0"/>
          <w:lang w:val="en-CA"/>
        </w:rPr>
        <w:t>Workplan:</w:t>
      </w:r>
    </w:p>
    <w:p w14:paraId="57F414C3" w14:textId="77777777" w:rsidR="00A22FF9" w:rsidRPr="00915AF9" w:rsidRDefault="00A22FF9" w:rsidP="00A22FF9">
      <w:pPr>
        <w:spacing w:after="0"/>
        <w:rPr>
          <w:noProof w:val="0"/>
        </w:rPr>
      </w:pPr>
      <w:r w:rsidRPr="00915AF9">
        <w:rPr>
          <w:noProof w:val="0"/>
        </w:rPr>
        <w:t>A description of the specific activity/activities to be undertaken including:</w:t>
      </w:r>
    </w:p>
    <w:p w14:paraId="49CD6F2E" w14:textId="77777777" w:rsidR="00A22FF9" w:rsidRDefault="00A22FF9" w:rsidP="00A22FF9">
      <w:pPr>
        <w:pStyle w:val="ListParagraph"/>
        <w:numPr>
          <w:ilvl w:val="0"/>
          <w:numId w:val="6"/>
        </w:numP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  <w:t>High-level agenda (in the case of roundtable);</w:t>
      </w:r>
    </w:p>
    <w:p w14:paraId="692F1897" w14:textId="77777777" w:rsidR="00A22FF9" w:rsidRDefault="00A22FF9" w:rsidP="00A22FF9">
      <w:pPr>
        <w:pStyle w:val="ListParagraph"/>
        <w:numPr>
          <w:ilvl w:val="0"/>
          <w:numId w:val="6"/>
        </w:numP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  <w:t>Expected timelines for delivery;</w:t>
      </w:r>
    </w:p>
    <w:p w14:paraId="4ECF53BD" w14:textId="77777777" w:rsidR="00A22FF9" w:rsidRDefault="00A22FF9" w:rsidP="00A22FF9">
      <w:pPr>
        <w:pStyle w:val="ListParagraph"/>
        <w:numPr>
          <w:ilvl w:val="0"/>
          <w:numId w:val="6"/>
        </w:numP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  <w:t>Anticipated support from Secretariat; and</w:t>
      </w:r>
    </w:p>
    <w:p w14:paraId="02CC4F4F" w14:textId="77777777" w:rsidR="00A22FF9" w:rsidRDefault="00A22FF9" w:rsidP="00A22FF9">
      <w:pPr>
        <w:pStyle w:val="ListParagraph"/>
        <w:numPr>
          <w:ilvl w:val="0"/>
          <w:numId w:val="6"/>
        </w:numP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</w:pPr>
      <w: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  <w:t>E</w:t>
      </w:r>
      <w:r w:rsidRPr="00386E2C"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  <w:t>xpected tangible results (outputs)</w:t>
      </w:r>
      <w:r>
        <w:rPr>
          <w:rFonts w:asciiTheme="minorHAnsi" w:eastAsia="Calibri" w:hAnsiTheme="minorHAnsi"/>
          <w:i/>
          <w:noProof w:val="0"/>
          <w:sz w:val="22"/>
          <w:szCs w:val="22"/>
          <w:lang w:val="en-GB" w:eastAsia="en-US"/>
        </w:rPr>
        <w:t>.</w:t>
      </w:r>
    </w:p>
    <w:p w14:paraId="730B2E69" w14:textId="77777777" w:rsidR="00A22FF9" w:rsidRDefault="00A22FF9" w:rsidP="00A22FF9">
      <w:pPr>
        <w:spacing w:after="0"/>
        <w:rPr>
          <w:b/>
          <w:noProof w:val="0"/>
        </w:rPr>
      </w:pPr>
    </w:p>
    <w:p w14:paraId="0F007281" w14:textId="77777777" w:rsidR="00A22FF9" w:rsidRDefault="00A22FF9" w:rsidP="00A22FF9">
      <w:pPr>
        <w:spacing w:after="0"/>
        <w:rPr>
          <w:b/>
          <w:noProof w:val="0"/>
        </w:rPr>
      </w:pPr>
      <w:r>
        <w:rPr>
          <w:b/>
          <w:noProof w:val="0"/>
        </w:rPr>
        <w:t>Projected Outcomes</w:t>
      </w:r>
    </w:p>
    <w:p w14:paraId="1F3568C0" w14:textId="77777777" w:rsidR="00A22FF9" w:rsidRPr="00915AF9" w:rsidRDefault="00A22FF9" w:rsidP="00A22FF9">
      <w:pPr>
        <w:spacing w:after="0"/>
        <w:rPr>
          <w:noProof w:val="0"/>
        </w:rPr>
      </w:pPr>
      <w:r w:rsidRPr="00915AF9">
        <w:rPr>
          <w:noProof w:val="0"/>
        </w:rPr>
        <w:t xml:space="preserve">A description of the </w:t>
      </w:r>
      <w:r>
        <w:rPr>
          <w:noProof w:val="0"/>
        </w:rPr>
        <w:t xml:space="preserve">broader </w:t>
      </w:r>
      <w:r w:rsidRPr="00915AF9">
        <w:rPr>
          <w:noProof w:val="0"/>
        </w:rPr>
        <w:t xml:space="preserve">expected benefits </w:t>
      </w:r>
      <w:r>
        <w:rPr>
          <w:noProof w:val="0"/>
        </w:rPr>
        <w:t>of the proposal</w:t>
      </w:r>
      <w:r w:rsidRPr="00915AF9">
        <w:rPr>
          <w:noProof w:val="0"/>
        </w:rPr>
        <w:t xml:space="preserve"> including: </w:t>
      </w:r>
    </w:p>
    <w:p w14:paraId="5F0055D4" w14:textId="77777777" w:rsidR="00A22FF9" w:rsidRDefault="00A22FF9" w:rsidP="00A22FF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noProof w:val="0"/>
          <w:sz w:val="22"/>
          <w:szCs w:val="22"/>
        </w:rPr>
      </w:pPr>
      <w:r>
        <w:rPr>
          <w:rFonts w:asciiTheme="minorHAnsi" w:hAnsiTheme="minorHAnsi" w:cstheme="minorHAnsi"/>
          <w:i/>
          <w:noProof w:val="0"/>
          <w:sz w:val="22"/>
          <w:szCs w:val="22"/>
        </w:rPr>
        <w:t>F</w:t>
      </w:r>
      <w:r w:rsidRPr="008D46F9">
        <w:rPr>
          <w:rFonts w:asciiTheme="minorHAnsi" w:hAnsiTheme="minorHAnsi" w:cstheme="minorHAnsi"/>
          <w:i/>
          <w:noProof w:val="0"/>
          <w:sz w:val="22"/>
          <w:szCs w:val="22"/>
        </w:rPr>
        <w:t xml:space="preserve">uture </w:t>
      </w:r>
      <w:proofErr w:type="spellStart"/>
      <w:r w:rsidRPr="008D46F9">
        <w:rPr>
          <w:rFonts w:asciiTheme="minorHAnsi" w:hAnsiTheme="minorHAnsi" w:cstheme="minorHAnsi"/>
          <w:i/>
          <w:noProof w:val="0"/>
          <w:sz w:val="22"/>
          <w:szCs w:val="22"/>
        </w:rPr>
        <w:t>deliverables</w:t>
      </w:r>
      <w:proofErr w:type="spellEnd"/>
      <w:r>
        <w:rPr>
          <w:rFonts w:asciiTheme="minorHAnsi" w:hAnsiTheme="minorHAnsi" w:cstheme="minorHAnsi"/>
          <w:i/>
          <w:noProof w:val="0"/>
          <w:sz w:val="22"/>
          <w:szCs w:val="22"/>
        </w:rPr>
        <w:t>;</w:t>
      </w:r>
    </w:p>
    <w:p w14:paraId="2AE99C2E" w14:textId="77777777" w:rsidR="00A22FF9" w:rsidRPr="008D46F9" w:rsidRDefault="00A22FF9" w:rsidP="00A22FF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</w:pPr>
      <w: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>S</w:t>
      </w:r>
      <w:r w:rsidRPr="008D46F9"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 xml:space="preserve">ynergies with other CCAC priorities, </w:t>
      </w:r>
    </w:p>
    <w:p w14:paraId="5F195558" w14:textId="77777777" w:rsidR="00A22FF9" w:rsidRDefault="00A22FF9" w:rsidP="00A22FF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</w:pPr>
      <w: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>P</w:t>
      </w:r>
      <w:r w:rsidRPr="008D46F9"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 xml:space="preserve">otential for </w:t>
      </w:r>
      <w: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>replication,</w:t>
      </w:r>
      <w:r w:rsidRPr="008D46F9"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 xml:space="preserve"> scaled-up, and/or </w:t>
      </w:r>
      <w: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>continuation</w:t>
      </w:r>
      <w:r w:rsidRPr="008D46F9"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 xml:space="preserve">; and </w:t>
      </w:r>
    </w:p>
    <w:p w14:paraId="69EBF97E" w14:textId="3559C675" w:rsidR="00A22FF9" w:rsidRPr="00894D76" w:rsidRDefault="00A22FF9" w:rsidP="00894D7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</w:pPr>
      <w:r w:rsidRPr="00894D76"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>Link to the CCAC 2030 Vision Statement</w:t>
      </w:r>
      <w:r w:rsidR="00B933D4" w:rsidRPr="00894D76">
        <w:rPr>
          <w:rFonts w:asciiTheme="minorHAnsi" w:hAnsiTheme="minorHAnsi" w:cstheme="minorHAnsi"/>
          <w:i/>
          <w:noProof w:val="0"/>
          <w:sz w:val="22"/>
          <w:szCs w:val="22"/>
          <w:lang w:val="en-CA"/>
        </w:rPr>
        <w:t xml:space="preserve"> (see Annex 1) </w:t>
      </w:r>
    </w:p>
    <w:p w14:paraId="2C582C82" w14:textId="77777777" w:rsidR="00A76E9C" w:rsidRDefault="00A76E9C" w:rsidP="00A76E9C">
      <w:pPr>
        <w:rPr>
          <w:noProof w:val="0"/>
        </w:rPr>
      </w:pPr>
    </w:p>
    <w:p w14:paraId="751D23FF" w14:textId="33DE245C" w:rsidR="00A76E9C" w:rsidRPr="00F646D3" w:rsidRDefault="00A76E9C" w:rsidP="00A76E9C">
      <w:pPr>
        <w:pStyle w:val="Heading1"/>
        <w:rPr>
          <w:noProof w:val="0"/>
          <w:lang w:val="en-GB"/>
        </w:rPr>
      </w:pPr>
      <w:r w:rsidRPr="00F646D3">
        <w:rPr>
          <w:noProof w:val="0"/>
          <w:lang w:val="en-GB"/>
        </w:rPr>
        <w:lastRenderedPageBreak/>
        <w:t xml:space="preserve">PART III:  </w:t>
      </w:r>
      <w:r w:rsidR="00A22FF9">
        <w:rPr>
          <w:noProof w:val="0"/>
          <w:lang w:val="en-GB"/>
        </w:rPr>
        <w:t>DETAILED</w:t>
      </w:r>
      <w:r w:rsidR="00A22FF9" w:rsidRPr="00F646D3">
        <w:rPr>
          <w:noProof w:val="0"/>
          <w:lang w:val="en-GB"/>
        </w:rPr>
        <w:t xml:space="preserve"> </w:t>
      </w:r>
      <w:r w:rsidRPr="00F646D3">
        <w:rPr>
          <w:noProof w:val="0"/>
          <w:lang w:val="en-GB"/>
        </w:rPr>
        <w:t>BUDGET</w:t>
      </w:r>
    </w:p>
    <w:p w14:paraId="79FAD64F" w14:textId="77777777" w:rsidR="00A76E9C" w:rsidRPr="0028302B" w:rsidRDefault="00A76E9C" w:rsidP="00C7344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7CAAC" w:themeFill="accent2" w:themeFillTint="66"/>
        <w:spacing w:after="0"/>
        <w:jc w:val="center"/>
        <w:rPr>
          <w:i/>
          <w:noProof w:val="0"/>
          <w:color w:val="FF0000"/>
          <w:u w:val="single"/>
        </w:rPr>
      </w:pPr>
      <w:r w:rsidRPr="0028302B">
        <w:rPr>
          <w:i/>
          <w:noProof w:val="0"/>
          <w:color w:val="FF0000"/>
          <w:u w:val="single"/>
        </w:rPr>
        <w:t xml:space="preserve">Please estimate the cost of each activity. </w:t>
      </w:r>
    </w:p>
    <w:tbl>
      <w:tblPr>
        <w:tblStyle w:val="GridTable4-Accent11"/>
        <w:tblW w:w="5000" w:type="pct"/>
        <w:tblLook w:val="04A0" w:firstRow="1" w:lastRow="0" w:firstColumn="1" w:lastColumn="0" w:noHBand="0" w:noVBand="1"/>
      </w:tblPr>
      <w:tblGrid>
        <w:gridCol w:w="1003"/>
        <w:gridCol w:w="2076"/>
        <w:gridCol w:w="1451"/>
        <w:gridCol w:w="1702"/>
        <w:gridCol w:w="1702"/>
        <w:gridCol w:w="1416"/>
      </w:tblGrid>
      <w:tr w:rsidR="00C73440" w:rsidRPr="00F646D3" w14:paraId="7A795132" w14:textId="77777777" w:rsidTr="0053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2E74B5" w:themeFill="accent1" w:themeFillShade="BF"/>
          </w:tcPr>
          <w:p w14:paraId="26FC8B76" w14:textId="77777777" w:rsidR="00C73440" w:rsidRPr="00F646D3" w:rsidRDefault="00C73440" w:rsidP="00A82752">
            <w:pPr>
              <w:spacing w:after="0"/>
              <w:rPr>
                <w:noProof w:val="0"/>
                <w:sz w:val="20"/>
                <w:szCs w:val="20"/>
              </w:rPr>
            </w:pPr>
            <w:r w:rsidRPr="00F646D3">
              <w:rPr>
                <w:noProof w:val="0"/>
                <w:sz w:val="20"/>
                <w:szCs w:val="20"/>
              </w:rPr>
              <w:t>Activity name</w:t>
            </w:r>
          </w:p>
        </w:tc>
        <w:tc>
          <w:tcPr>
            <w:tcW w:w="1110" w:type="pct"/>
            <w:shd w:val="clear" w:color="auto" w:fill="2E74B5" w:themeFill="accent1" w:themeFillShade="BF"/>
          </w:tcPr>
          <w:p w14:paraId="417F03F6" w14:textId="77777777" w:rsidR="00C73440" w:rsidRPr="00F646D3" w:rsidRDefault="00C73440" w:rsidP="00C7344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 w:val="20"/>
                <w:szCs w:val="20"/>
              </w:rPr>
            </w:pPr>
            <w:r w:rsidRPr="00F646D3">
              <w:rPr>
                <w:noProof w:val="0"/>
                <w:sz w:val="20"/>
                <w:szCs w:val="20"/>
              </w:rPr>
              <w:t xml:space="preserve">Main deliverable [and  proposed </w:t>
            </w:r>
            <w:r>
              <w:rPr>
                <w:noProof w:val="0"/>
                <w:sz w:val="20"/>
                <w:szCs w:val="20"/>
              </w:rPr>
              <w:t>implementer]</w:t>
            </w:r>
          </w:p>
        </w:tc>
        <w:tc>
          <w:tcPr>
            <w:tcW w:w="776" w:type="pct"/>
            <w:shd w:val="clear" w:color="auto" w:fill="2E74B5" w:themeFill="accent1" w:themeFillShade="BF"/>
          </w:tcPr>
          <w:p w14:paraId="40C7C2E4" w14:textId="77777777" w:rsidR="00C73440" w:rsidRPr="00F646D3" w:rsidRDefault="00C73440" w:rsidP="00A8275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 w:val="20"/>
                <w:szCs w:val="20"/>
              </w:rPr>
            </w:pPr>
            <w:r w:rsidRPr="00F646D3">
              <w:rPr>
                <w:noProof w:val="0"/>
                <w:sz w:val="20"/>
                <w:szCs w:val="20"/>
              </w:rPr>
              <w:t>Requested amount from CCAC (USD)</w:t>
            </w:r>
          </w:p>
        </w:tc>
        <w:tc>
          <w:tcPr>
            <w:tcW w:w="910" w:type="pct"/>
            <w:shd w:val="clear" w:color="auto" w:fill="2E74B5" w:themeFill="accent1" w:themeFillShade="BF"/>
          </w:tcPr>
          <w:p w14:paraId="4A8C8C74" w14:textId="77777777" w:rsidR="00C73440" w:rsidRPr="00F646D3" w:rsidRDefault="00C73440" w:rsidP="00A8275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 w:val="20"/>
                <w:szCs w:val="20"/>
              </w:rPr>
            </w:pPr>
            <w:r w:rsidRPr="00F646D3">
              <w:rPr>
                <w:noProof w:val="0"/>
                <w:sz w:val="20"/>
                <w:szCs w:val="20"/>
              </w:rPr>
              <w:t xml:space="preserve">Co-financing amount (USD) / </w:t>
            </w:r>
          </w:p>
          <w:p w14:paraId="0CF52000" w14:textId="77777777" w:rsidR="00C73440" w:rsidRPr="00F646D3" w:rsidRDefault="00C73440" w:rsidP="00A8275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 w:val="20"/>
                <w:szCs w:val="20"/>
              </w:rPr>
            </w:pPr>
            <w:r w:rsidRPr="00F646D3">
              <w:rPr>
                <w:noProof w:val="0"/>
                <w:sz w:val="20"/>
                <w:szCs w:val="20"/>
              </w:rPr>
              <w:t>In-Kind Contributions (USD equivalent)</w:t>
            </w:r>
          </w:p>
        </w:tc>
        <w:tc>
          <w:tcPr>
            <w:tcW w:w="910" w:type="pct"/>
            <w:shd w:val="clear" w:color="auto" w:fill="2E74B5" w:themeFill="accent1" w:themeFillShade="BF"/>
          </w:tcPr>
          <w:p w14:paraId="32D95C05" w14:textId="77777777" w:rsidR="00C73440" w:rsidRPr="00F646D3" w:rsidRDefault="00C73440" w:rsidP="00A8275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 w:val="20"/>
                <w:szCs w:val="20"/>
              </w:rPr>
            </w:pPr>
            <w:r w:rsidRPr="00F646D3">
              <w:rPr>
                <w:noProof w:val="0"/>
                <w:sz w:val="20"/>
                <w:szCs w:val="20"/>
              </w:rPr>
              <w:t>Total Cost (USD)</w:t>
            </w:r>
          </w:p>
        </w:tc>
        <w:tc>
          <w:tcPr>
            <w:tcW w:w="758" w:type="pct"/>
            <w:shd w:val="clear" w:color="auto" w:fill="2E74B5" w:themeFill="accent1" w:themeFillShade="BF"/>
          </w:tcPr>
          <w:p w14:paraId="57ABF23F" w14:textId="77777777" w:rsidR="00C73440" w:rsidRPr="00F646D3" w:rsidRDefault="00C73440" w:rsidP="00A8275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Secretariat Support Required</w:t>
            </w:r>
          </w:p>
        </w:tc>
      </w:tr>
      <w:tr w:rsidR="00C73440" w:rsidRPr="00F646D3" w14:paraId="5E816504" w14:textId="77777777" w:rsidTr="0053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vAlign w:val="center"/>
          </w:tcPr>
          <w:p w14:paraId="1B2CE41A" w14:textId="77777777" w:rsidR="00C73440" w:rsidRPr="00F646D3" w:rsidRDefault="00C73440" w:rsidP="00A82752">
            <w:pPr>
              <w:spacing w:after="0"/>
              <w:rPr>
                <w:noProof w:val="0"/>
              </w:rPr>
            </w:pPr>
          </w:p>
        </w:tc>
        <w:tc>
          <w:tcPr>
            <w:tcW w:w="1110" w:type="pct"/>
          </w:tcPr>
          <w:p w14:paraId="24377384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76" w:type="pct"/>
          </w:tcPr>
          <w:p w14:paraId="7E576006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790BB48C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511A4E21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58" w:type="pct"/>
          </w:tcPr>
          <w:p w14:paraId="793417C9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C73440" w:rsidRPr="00F646D3" w14:paraId="5272A1FE" w14:textId="77777777" w:rsidTr="005349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vAlign w:val="center"/>
          </w:tcPr>
          <w:p w14:paraId="250D32FB" w14:textId="77777777" w:rsidR="00C73440" w:rsidRPr="00F646D3" w:rsidRDefault="00C73440" w:rsidP="00A82752">
            <w:pPr>
              <w:spacing w:after="0"/>
              <w:rPr>
                <w:noProof w:val="0"/>
              </w:rPr>
            </w:pPr>
          </w:p>
        </w:tc>
        <w:tc>
          <w:tcPr>
            <w:tcW w:w="1110" w:type="pct"/>
          </w:tcPr>
          <w:p w14:paraId="06698993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76" w:type="pct"/>
          </w:tcPr>
          <w:p w14:paraId="19CF7D55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4807F0CF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73AE0140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58" w:type="pct"/>
          </w:tcPr>
          <w:p w14:paraId="7572DC19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C73440" w:rsidRPr="00F646D3" w14:paraId="7530BF15" w14:textId="77777777" w:rsidTr="0053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vAlign w:val="center"/>
          </w:tcPr>
          <w:p w14:paraId="12BD714E" w14:textId="77777777" w:rsidR="00C73440" w:rsidRPr="00F646D3" w:rsidRDefault="00C73440" w:rsidP="00A82752">
            <w:pPr>
              <w:spacing w:after="0"/>
              <w:rPr>
                <w:noProof w:val="0"/>
              </w:rPr>
            </w:pPr>
          </w:p>
        </w:tc>
        <w:tc>
          <w:tcPr>
            <w:tcW w:w="1110" w:type="pct"/>
          </w:tcPr>
          <w:p w14:paraId="08B0839F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76" w:type="pct"/>
          </w:tcPr>
          <w:p w14:paraId="76B62CC5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45E082BE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5104928E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58" w:type="pct"/>
          </w:tcPr>
          <w:p w14:paraId="37774221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C73440" w:rsidRPr="00F646D3" w14:paraId="7E7A08B7" w14:textId="77777777" w:rsidTr="005349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vAlign w:val="center"/>
          </w:tcPr>
          <w:p w14:paraId="6A1F7353" w14:textId="77777777" w:rsidR="00C73440" w:rsidRPr="00F646D3" w:rsidRDefault="00C73440" w:rsidP="00A82752">
            <w:pPr>
              <w:spacing w:after="0"/>
              <w:rPr>
                <w:noProof w:val="0"/>
              </w:rPr>
            </w:pPr>
          </w:p>
        </w:tc>
        <w:tc>
          <w:tcPr>
            <w:tcW w:w="1110" w:type="pct"/>
          </w:tcPr>
          <w:p w14:paraId="53982A2B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76" w:type="pct"/>
          </w:tcPr>
          <w:p w14:paraId="0F96867F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1CB26592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</w:tcPr>
          <w:p w14:paraId="02EF44B2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58" w:type="pct"/>
          </w:tcPr>
          <w:p w14:paraId="302B0C0D" w14:textId="77777777" w:rsidR="00C73440" w:rsidRPr="00F646D3" w:rsidRDefault="00C73440" w:rsidP="00A827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C73440" w:rsidRPr="00F646D3" w14:paraId="41564C51" w14:textId="77777777" w:rsidTr="0053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pct"/>
            <w:shd w:val="clear" w:color="auto" w:fill="2E74B5" w:themeFill="accent1" w:themeFillShade="BF"/>
          </w:tcPr>
          <w:p w14:paraId="2AAD5BF4" w14:textId="77777777" w:rsidR="00C73440" w:rsidRPr="00F646D3" w:rsidRDefault="00C73440" w:rsidP="00A82752">
            <w:pPr>
              <w:spacing w:after="0"/>
              <w:rPr>
                <w:noProof w:val="0"/>
              </w:rPr>
            </w:pPr>
            <w:r w:rsidRPr="00F646D3">
              <w:rPr>
                <w:noProof w:val="0"/>
                <w:color w:val="FFFFFF" w:themeColor="background1"/>
              </w:rPr>
              <w:t xml:space="preserve"> TOTAL</w:t>
            </w:r>
          </w:p>
        </w:tc>
        <w:tc>
          <w:tcPr>
            <w:tcW w:w="1110" w:type="pct"/>
            <w:shd w:val="clear" w:color="auto" w:fill="2E74B5" w:themeFill="accent1" w:themeFillShade="BF"/>
          </w:tcPr>
          <w:p w14:paraId="57AD62B3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76" w:type="pct"/>
            <w:shd w:val="clear" w:color="auto" w:fill="2E74B5" w:themeFill="accent1" w:themeFillShade="BF"/>
          </w:tcPr>
          <w:p w14:paraId="31B05CAC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  <w:shd w:val="clear" w:color="auto" w:fill="2E74B5" w:themeFill="accent1" w:themeFillShade="BF"/>
          </w:tcPr>
          <w:p w14:paraId="55DFFEAF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910" w:type="pct"/>
            <w:shd w:val="clear" w:color="auto" w:fill="2E74B5" w:themeFill="accent1" w:themeFillShade="BF"/>
          </w:tcPr>
          <w:p w14:paraId="0D3A755D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  <w:tc>
          <w:tcPr>
            <w:tcW w:w="758" w:type="pct"/>
            <w:shd w:val="clear" w:color="auto" w:fill="2E74B5" w:themeFill="accent1" w:themeFillShade="BF"/>
          </w:tcPr>
          <w:p w14:paraId="16B538F2" w14:textId="77777777" w:rsidR="00C73440" w:rsidRPr="00F646D3" w:rsidRDefault="00C73440" w:rsidP="00A827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</w:tbl>
    <w:p w14:paraId="26BAA64E" w14:textId="3FF5DBEF" w:rsidR="00976BD6" w:rsidRDefault="00976BD6" w:rsidP="00A22FF9">
      <w:pPr>
        <w:suppressAutoHyphens w:val="0"/>
        <w:autoSpaceDN/>
        <w:spacing w:after="160" w:line="259" w:lineRule="auto"/>
        <w:textAlignment w:val="auto"/>
      </w:pPr>
    </w:p>
    <w:p w14:paraId="56033CF6" w14:textId="55467ABD" w:rsidR="00B933D4" w:rsidRDefault="00B933D4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328B83BB" w14:textId="0B96D3EF" w:rsidR="00B933D4" w:rsidRPr="00892CEA" w:rsidRDefault="00B933D4" w:rsidP="00B933D4">
      <w:pPr>
        <w:pStyle w:val="Title"/>
        <w:jc w:val="left"/>
        <w:rPr>
          <w:rFonts w:ascii="Calibri" w:hAnsi="Calibri"/>
          <w:color w:val="2E74B5" w:themeColor="accent1" w:themeShade="BF"/>
          <w:sz w:val="28"/>
        </w:rPr>
      </w:pPr>
      <w:r w:rsidRPr="00892CEA">
        <w:rPr>
          <w:rFonts w:ascii="Calibri" w:hAnsi="Calibri"/>
          <w:color w:val="2E74B5" w:themeColor="accent1" w:themeShade="BF"/>
          <w:sz w:val="28"/>
        </w:rPr>
        <w:lastRenderedPageBreak/>
        <w:t>Annex 1</w:t>
      </w:r>
    </w:p>
    <w:p w14:paraId="020EC653" w14:textId="0B395C03" w:rsidR="00B933D4" w:rsidRPr="00B13376" w:rsidRDefault="00B933D4" w:rsidP="00B933D4">
      <w:pPr>
        <w:pStyle w:val="Title"/>
        <w:rPr>
          <w:color w:val="2E74B5" w:themeColor="accent1" w:themeShade="BF"/>
          <w:sz w:val="28"/>
        </w:rPr>
      </w:pPr>
      <w:r w:rsidRPr="00B13376">
        <w:rPr>
          <w:color w:val="2E74B5" w:themeColor="accent1" w:themeShade="BF"/>
          <w:sz w:val="28"/>
        </w:rPr>
        <w:t>2030 VISION STATEMENT</w:t>
      </w:r>
    </w:p>
    <w:p w14:paraId="0BDB0DA9" w14:textId="77777777" w:rsidR="00B933D4" w:rsidRDefault="00B933D4" w:rsidP="00B933D4">
      <w:pPr>
        <w:spacing w:after="0"/>
      </w:pPr>
    </w:p>
    <w:p w14:paraId="6DA7C604" w14:textId="77777777" w:rsidR="00B933D4" w:rsidRPr="00902DB5" w:rsidRDefault="00B933D4" w:rsidP="00B933D4">
      <w:pPr>
        <w:spacing w:after="240"/>
        <w:rPr>
          <w:sz w:val="24"/>
        </w:rPr>
      </w:pPr>
      <w:r w:rsidRPr="00902DB5">
        <w:rPr>
          <w:sz w:val="24"/>
        </w:rPr>
        <w:t>We are at a critical point. There is a public health emergency from air pollution and a global climate crisis. In today’s world, the Climate and Clean Air Coalition is more needed than ever.</w:t>
      </w:r>
    </w:p>
    <w:p w14:paraId="58646C12" w14:textId="77777777" w:rsidR="00B933D4" w:rsidRPr="00902DB5" w:rsidRDefault="00B933D4" w:rsidP="00B933D4">
      <w:pPr>
        <w:spacing w:after="240"/>
        <w:rPr>
          <w:sz w:val="24"/>
        </w:rPr>
      </w:pPr>
      <w:r w:rsidRPr="00902DB5">
        <w:rPr>
          <w:sz w:val="24"/>
        </w:rPr>
        <w:t>Our vision is an atmosphere that enables people and the planet to thrive – a stabilized climate with warming limited to 1.5C and drastically reduced air pollution.</w:t>
      </w:r>
    </w:p>
    <w:p w14:paraId="1F92DD5C" w14:textId="77777777" w:rsidR="00B933D4" w:rsidRPr="00902DB5" w:rsidRDefault="00B933D4" w:rsidP="00B933D4">
      <w:pPr>
        <w:spacing w:after="240"/>
        <w:rPr>
          <w:sz w:val="24"/>
        </w:rPr>
      </w:pPr>
      <w:r w:rsidRPr="00902DB5">
        <w:rPr>
          <w:sz w:val="24"/>
        </w:rPr>
        <w:t>In the next decade we will work to put the world on a pathway that rapidly reduces warming in the near-term and maximizes development, health, environmental and food security benefits.</w:t>
      </w:r>
    </w:p>
    <w:p w14:paraId="6042DEB2" w14:textId="77777777" w:rsidR="00B933D4" w:rsidRPr="00902DB5" w:rsidRDefault="00B933D4" w:rsidP="00B933D4">
      <w:pPr>
        <w:spacing w:after="240"/>
        <w:rPr>
          <w:sz w:val="24"/>
        </w:rPr>
      </w:pPr>
      <w:r w:rsidRPr="00902DB5">
        <w:rPr>
          <w:sz w:val="24"/>
        </w:rPr>
        <w:t>Building on our experiences we will both drive and respond to scientific and political progress, guided by the following imperatives:</w:t>
      </w:r>
    </w:p>
    <w:p w14:paraId="00664F6D" w14:textId="77777777" w:rsidR="00B933D4" w:rsidRPr="00902DB5" w:rsidRDefault="00B933D4" w:rsidP="00B933D4">
      <w:pPr>
        <w:numPr>
          <w:ilvl w:val="0"/>
          <w:numId w:val="8"/>
        </w:numPr>
        <w:suppressAutoHyphens w:val="0"/>
        <w:autoSpaceDN/>
        <w:spacing w:after="240" w:line="276" w:lineRule="auto"/>
        <w:textAlignment w:val="auto"/>
        <w:rPr>
          <w:sz w:val="24"/>
        </w:rPr>
      </w:pPr>
      <w:r w:rsidRPr="00902DB5">
        <w:rPr>
          <w:sz w:val="24"/>
        </w:rPr>
        <w:t>Working at the nexus of climate and air quality, delivering multiple benefits from the mitigation of short-lived climate pollutants: methane, HFCs, black carbon and tropospheric ozone.</w:t>
      </w:r>
    </w:p>
    <w:p w14:paraId="7001A644" w14:textId="77777777" w:rsidR="00B933D4" w:rsidRPr="00902DB5" w:rsidRDefault="00B933D4" w:rsidP="00B933D4">
      <w:pPr>
        <w:numPr>
          <w:ilvl w:val="0"/>
          <w:numId w:val="8"/>
        </w:numPr>
        <w:suppressAutoHyphens w:val="0"/>
        <w:autoSpaceDN/>
        <w:spacing w:after="240" w:line="276" w:lineRule="auto"/>
        <w:textAlignment w:val="auto"/>
        <w:rPr>
          <w:sz w:val="24"/>
        </w:rPr>
      </w:pPr>
      <w:r w:rsidRPr="00902DB5">
        <w:rPr>
          <w:sz w:val="24"/>
        </w:rPr>
        <w:t>Strengthening our partnership to deliver results, working arm-in-arm with leaders of national governments, subnational governments, cities, intergovernmental organizations, non-governmental organizations, companies, and civil society.</w:t>
      </w:r>
    </w:p>
    <w:p w14:paraId="0A547C37" w14:textId="77777777" w:rsidR="00B933D4" w:rsidRPr="00902DB5" w:rsidRDefault="00B933D4" w:rsidP="00B933D4">
      <w:pPr>
        <w:numPr>
          <w:ilvl w:val="0"/>
          <w:numId w:val="8"/>
        </w:numPr>
        <w:suppressAutoHyphens w:val="0"/>
        <w:autoSpaceDN/>
        <w:spacing w:after="240" w:line="276" w:lineRule="auto"/>
        <w:textAlignment w:val="auto"/>
        <w:rPr>
          <w:sz w:val="24"/>
        </w:rPr>
      </w:pPr>
      <w:r w:rsidRPr="00902DB5">
        <w:rPr>
          <w:sz w:val="24"/>
        </w:rPr>
        <w:t>Providing decision-makers the confidence to deliver fast and immediate mitigation.</w:t>
      </w:r>
    </w:p>
    <w:p w14:paraId="662DEF11" w14:textId="77777777" w:rsidR="00B933D4" w:rsidRPr="00902DB5" w:rsidRDefault="00B933D4" w:rsidP="00B933D4">
      <w:pPr>
        <w:spacing w:after="240"/>
        <w:rPr>
          <w:sz w:val="24"/>
        </w:rPr>
      </w:pPr>
      <w:r w:rsidRPr="00902DB5">
        <w:rPr>
          <w:sz w:val="24"/>
        </w:rPr>
        <w:t>Together we will catalyse action to raise ambition.</w:t>
      </w:r>
    </w:p>
    <w:p w14:paraId="0BDF888B" w14:textId="284534FE" w:rsidR="00B933D4" w:rsidRDefault="00B933D4" w:rsidP="00B933D4">
      <w:pPr>
        <w:suppressAutoHyphens w:val="0"/>
        <w:autoSpaceDN/>
        <w:spacing w:after="160" w:line="259" w:lineRule="auto"/>
        <w:textAlignment w:val="auto"/>
      </w:pPr>
    </w:p>
    <w:sectPr w:rsidR="00B933D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7A446" w14:textId="77777777" w:rsidR="004E18D3" w:rsidRDefault="004E18D3" w:rsidP="00A22FF9">
      <w:pPr>
        <w:spacing w:after="0"/>
      </w:pPr>
      <w:r>
        <w:separator/>
      </w:r>
    </w:p>
  </w:endnote>
  <w:endnote w:type="continuationSeparator" w:id="0">
    <w:p w14:paraId="19839208" w14:textId="77777777" w:rsidR="004E18D3" w:rsidRDefault="004E18D3" w:rsidP="00A22F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553D5" w14:textId="77777777" w:rsidR="004E18D3" w:rsidRDefault="004E18D3" w:rsidP="00A22FF9">
      <w:pPr>
        <w:spacing w:after="0"/>
      </w:pPr>
      <w:r>
        <w:separator/>
      </w:r>
    </w:p>
  </w:footnote>
  <w:footnote w:type="continuationSeparator" w:id="0">
    <w:p w14:paraId="2ED10BC5" w14:textId="77777777" w:rsidR="004E18D3" w:rsidRDefault="004E18D3" w:rsidP="00A22FF9">
      <w:pPr>
        <w:spacing w:after="0"/>
      </w:pPr>
      <w:r>
        <w:continuationSeparator/>
      </w:r>
    </w:p>
  </w:footnote>
  <w:footnote w:id="1">
    <w:p w14:paraId="5DE93840" w14:textId="77777777" w:rsidR="00A22FF9" w:rsidRPr="00D11F90" w:rsidRDefault="00A22FF9" w:rsidP="00A22FF9">
      <w:pPr>
        <w:pStyle w:val="FootnoteText"/>
        <w:rPr>
          <w:sz w:val="16"/>
          <w:lang w:val="en-CA"/>
        </w:rPr>
      </w:pPr>
      <w:r w:rsidRPr="00D11F90">
        <w:rPr>
          <w:rStyle w:val="FootnoteReference"/>
          <w:sz w:val="16"/>
        </w:rPr>
        <w:footnoteRef/>
      </w:r>
      <w:r w:rsidRPr="00D11F90">
        <w:rPr>
          <w:sz w:val="16"/>
        </w:rPr>
        <w:t xml:space="preserve"> </w:t>
      </w:r>
      <w:r w:rsidRPr="00D11F90">
        <w:rPr>
          <w:sz w:val="16"/>
          <w:lang w:val="en-CA"/>
        </w:rPr>
        <w:t xml:space="preserve">Funding under the Action Programme is not limited to CCAC Country Partners, however preference will be given to proposals that demonstrate collaboration with CCAC Country Partners. </w:t>
      </w:r>
    </w:p>
  </w:footnote>
  <w:footnote w:id="2">
    <w:p w14:paraId="571FE6C2" w14:textId="77777777" w:rsidR="00A22FF9" w:rsidRPr="00D11F90" w:rsidRDefault="00A22FF9">
      <w:pPr>
        <w:pStyle w:val="FootnoteText"/>
        <w:rPr>
          <w:lang w:val="en-CA"/>
        </w:rPr>
      </w:pPr>
      <w:r w:rsidRPr="00915AF9">
        <w:rPr>
          <w:rStyle w:val="FootnoteReference"/>
          <w:sz w:val="18"/>
        </w:rPr>
        <w:footnoteRef/>
      </w:r>
      <w:r>
        <w:t xml:space="preserve"> </w:t>
      </w:r>
      <w:r w:rsidRPr="00D11F90">
        <w:rPr>
          <w:sz w:val="16"/>
          <w:lang w:val="en-CA"/>
        </w:rPr>
        <w:t xml:space="preserve">The </w:t>
      </w:r>
      <w:r>
        <w:rPr>
          <w:sz w:val="16"/>
          <w:lang w:val="en-CA"/>
        </w:rPr>
        <w:t>total funding envelope for the Action Programme is approximately $950,000. The CCAC is aiming to collect a robust and diverse group of projects to best showcase the different aspects of the Programme.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B20D" w14:textId="68A07F0B" w:rsidR="00B933D4" w:rsidRDefault="00B933D4">
    <w:pPr>
      <w:pStyle w:val="Header"/>
    </w:pPr>
    <w:r w:rsidRPr="00BA33A4">
      <w:rPr>
        <w:rFonts w:ascii="Calibri" w:hAnsi="Calibri" w:cs="Calibri"/>
        <w:i/>
        <w:lang w:val="en-US"/>
      </w:rPr>
      <w:drawing>
        <wp:anchor distT="0" distB="0" distL="114300" distR="114300" simplePos="0" relativeHeight="251659264" behindDoc="1" locked="0" layoutInCell="1" allowOverlap="1" wp14:anchorId="7C4D7C6E" wp14:editId="731010B2">
          <wp:simplePos x="0" y="0"/>
          <wp:positionH relativeFrom="column">
            <wp:posOffset>-165696</wp:posOffset>
          </wp:positionH>
          <wp:positionV relativeFrom="paragraph">
            <wp:posOffset>-144780</wp:posOffset>
          </wp:positionV>
          <wp:extent cx="1222346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ie_tr0HPu4lSAc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61" cy="573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074D39" w14:textId="77777777" w:rsidR="00B933D4" w:rsidRDefault="00B93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280"/>
    <w:multiLevelType w:val="hybridMultilevel"/>
    <w:tmpl w:val="1C3442EE"/>
    <w:lvl w:ilvl="0" w:tplc="0D6AEB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4B4"/>
    <w:multiLevelType w:val="hybridMultilevel"/>
    <w:tmpl w:val="CEC4B946"/>
    <w:lvl w:ilvl="0" w:tplc="9B7C8B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6C73"/>
    <w:multiLevelType w:val="hybridMultilevel"/>
    <w:tmpl w:val="80024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000B"/>
    <w:multiLevelType w:val="hybridMultilevel"/>
    <w:tmpl w:val="EC5A01A2"/>
    <w:lvl w:ilvl="0" w:tplc="257EDF2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791"/>
    <w:multiLevelType w:val="hybridMultilevel"/>
    <w:tmpl w:val="B2FA9CB6"/>
    <w:lvl w:ilvl="0" w:tplc="9B7C8B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F5097"/>
    <w:multiLevelType w:val="hybridMultilevel"/>
    <w:tmpl w:val="E3E8D666"/>
    <w:lvl w:ilvl="0" w:tplc="AF3AF3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C801B1"/>
    <w:multiLevelType w:val="hybridMultilevel"/>
    <w:tmpl w:val="B30A146E"/>
    <w:lvl w:ilvl="0" w:tplc="C504A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C0D2D"/>
    <w:multiLevelType w:val="hybridMultilevel"/>
    <w:tmpl w:val="FA620672"/>
    <w:lvl w:ilvl="0" w:tplc="AE4414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9C"/>
    <w:rsid w:val="00153762"/>
    <w:rsid w:val="004E18D3"/>
    <w:rsid w:val="00534988"/>
    <w:rsid w:val="00574155"/>
    <w:rsid w:val="005F6E55"/>
    <w:rsid w:val="00674C8E"/>
    <w:rsid w:val="007A41CB"/>
    <w:rsid w:val="00827669"/>
    <w:rsid w:val="008838A2"/>
    <w:rsid w:val="00892CEA"/>
    <w:rsid w:val="00894D76"/>
    <w:rsid w:val="008B11B0"/>
    <w:rsid w:val="00976BD6"/>
    <w:rsid w:val="009C6CCA"/>
    <w:rsid w:val="00A22FF9"/>
    <w:rsid w:val="00A76E9C"/>
    <w:rsid w:val="00AE5429"/>
    <w:rsid w:val="00B933D4"/>
    <w:rsid w:val="00BE033B"/>
    <w:rsid w:val="00C429F6"/>
    <w:rsid w:val="00C73440"/>
    <w:rsid w:val="00D83B51"/>
    <w:rsid w:val="00E06B9A"/>
    <w:rsid w:val="00E56FB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720F"/>
  <w15:chartTrackingRefBased/>
  <w15:docId w15:val="{513CA126-6253-4709-A7D6-6771406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E9C"/>
    <w:pPr>
      <w:suppressAutoHyphens/>
      <w:autoSpaceDN w:val="0"/>
      <w:spacing w:after="120" w:line="240" w:lineRule="auto"/>
      <w:textAlignment w:val="baseline"/>
    </w:pPr>
    <w:rPr>
      <w:rFonts w:eastAsia="Calibri" w:cs="Times New Roman"/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9C"/>
    <w:pPr>
      <w:spacing w:before="240" w:line="276" w:lineRule="auto"/>
      <w:outlineLvl w:val="0"/>
    </w:pPr>
    <w:rPr>
      <w:rFonts w:ascii="Calibri" w:eastAsia="Helvetica" w:hAnsi="Calibri"/>
      <w:b/>
      <w:color w:val="2E74B5" w:themeColor="accent1" w:themeShade="BF"/>
      <w:spacing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9C"/>
    <w:rPr>
      <w:rFonts w:ascii="Calibri" w:eastAsia="Helvetica" w:hAnsi="Calibri" w:cs="Times New Roman"/>
      <w:b/>
      <w:noProof/>
      <w:color w:val="2E74B5" w:themeColor="accent1" w:themeShade="BF"/>
      <w:spacing w:val="24"/>
      <w:lang w:val="en-US"/>
    </w:r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List Paragraph2,MAIN CONTENT,OBC Bullet,List Paragraph12"/>
    <w:basedOn w:val="Normal"/>
    <w:link w:val="ListParagraphChar"/>
    <w:uiPriority w:val="34"/>
    <w:qFormat/>
    <w:rsid w:val="00A76E9C"/>
    <w:pPr>
      <w:spacing w:after="0"/>
      <w:ind w:left="720"/>
    </w:pPr>
    <w:rPr>
      <w:rFonts w:ascii="Times New Roman" w:eastAsia="Times New Roman" w:hAnsi="Times New Roman"/>
      <w:sz w:val="24"/>
      <w:szCs w:val="24"/>
      <w:lang w:val="fr-FR" w:eastAsia="fr-FR"/>
    </w:rPr>
  </w:style>
  <w:style w:type="table" w:customStyle="1" w:styleId="GridTable4-Accent11">
    <w:name w:val="Grid Table 4 - Accent 11"/>
    <w:basedOn w:val="TableNormal"/>
    <w:uiPriority w:val="49"/>
    <w:rsid w:val="00A76E9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fr-F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rsid w:val="00A76E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noProof w:val="0"/>
      <w:sz w:val="24"/>
      <w:szCs w:val="24"/>
      <w:lang w:eastAsia="en-GB"/>
    </w:rPr>
  </w:style>
  <w:style w:type="paragraph" w:customStyle="1" w:styleId="Body">
    <w:name w:val="Body"/>
    <w:rsid w:val="00A76E9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List Paragraph2 Char"/>
    <w:link w:val="ListParagraph"/>
    <w:uiPriority w:val="34"/>
    <w:locked/>
    <w:rsid w:val="00A76E9C"/>
    <w:rPr>
      <w:rFonts w:ascii="Times New Roman" w:eastAsia="Times New Roman" w:hAnsi="Times New Roman" w:cs="Times New Roman"/>
      <w:noProof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A76E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55"/>
    <w:rPr>
      <w:rFonts w:ascii="Segoe UI" w:eastAsia="Calibri" w:hAnsi="Segoe UI" w:cs="Segoe UI"/>
      <w:noProof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2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FF9"/>
    <w:rPr>
      <w:rFonts w:eastAsia="Calibri" w:cs="Times New Roman"/>
      <w:noProof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FF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FF9"/>
    <w:rPr>
      <w:rFonts w:eastAsia="Calibri" w:cs="Times New Roman"/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2FF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E2"/>
    <w:rPr>
      <w:rFonts w:eastAsia="Calibri" w:cs="Times New Roman"/>
      <w:b/>
      <w:bCs/>
      <w:noProof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33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33D4"/>
    <w:rPr>
      <w:rFonts w:eastAsia="Calibri" w:cs="Times New Roman"/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33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33D4"/>
    <w:rPr>
      <w:rFonts w:eastAsia="Calibri" w:cs="Times New Roman"/>
      <w:noProof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933D4"/>
    <w:pPr>
      <w:suppressAutoHyphens w:val="0"/>
      <w:autoSpaceDN/>
      <w:spacing w:line="264" w:lineRule="auto"/>
      <w:jc w:val="center"/>
      <w:textAlignment w:val="auto"/>
    </w:pPr>
    <w:rPr>
      <w:rFonts w:eastAsia="MS Mincho" w:cs="Calibri"/>
      <w:b/>
      <w:noProof w:val="0"/>
      <w:color w:val="943634"/>
      <w:spacing w:val="20"/>
      <w:lang w:eastAsia="fr-FR"/>
    </w:rPr>
  </w:style>
  <w:style w:type="character" w:customStyle="1" w:styleId="TitleChar">
    <w:name w:val="Title Char"/>
    <w:basedOn w:val="DefaultParagraphFont"/>
    <w:link w:val="Title"/>
    <w:uiPriority w:val="10"/>
    <w:rsid w:val="00B933D4"/>
    <w:rPr>
      <w:rFonts w:eastAsia="MS Mincho" w:cs="Calibri"/>
      <w:b/>
      <w:color w:val="943634"/>
      <w:spacing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c.teamwork.com/index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3B9E-83ED-4A46-823C-FBD60453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Lewis-George,Nathaniel [NCR]</dc:creator>
  <cp:keywords/>
  <dc:description/>
  <cp:lastModifiedBy>Carrie Dodds (Affiliate)</cp:lastModifiedBy>
  <cp:revision>2</cp:revision>
  <cp:lastPrinted>2019-09-25T12:24:00Z</cp:lastPrinted>
  <dcterms:created xsi:type="dcterms:W3CDTF">2019-09-30T08:50:00Z</dcterms:created>
  <dcterms:modified xsi:type="dcterms:W3CDTF">2019-09-30T08:50:00Z</dcterms:modified>
</cp:coreProperties>
</file>